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2D7" w:rsidRDefault="00D72E89">
      <w:pPr>
        <w:pStyle w:val="BodyA"/>
        <w:spacing w:line="240" w:lineRule="auto"/>
        <w:jc w:val="center"/>
        <w:rPr>
          <w:sz w:val="28"/>
          <w:szCs w:val="28"/>
          <w14:shadow w14:blurRad="50800" w14:dist="19050" w14:dir="2700000" w14:sx="100000" w14:sy="100000" w14:kx="0" w14:ky="0" w14:algn="tl">
            <w14:srgbClr w14:val="000000">
              <w14:alpha w14:val="39999"/>
            </w14:srgbClr>
          </w14:shadow>
        </w:rPr>
      </w:pPr>
      <w:bookmarkStart w:id="0" w:name="_GoBack"/>
      <w:bookmarkEnd w:id="0"/>
      <w:r>
        <w:rPr>
          <w:sz w:val="28"/>
          <w:szCs w:val="28"/>
          <w14:shadow w14:blurRad="50800" w14:dist="19050" w14:dir="2700000" w14:sx="100000" w14:sy="100000" w14:kx="0" w14:ky="0" w14:algn="tl">
            <w14:srgbClr w14:val="000000">
              <w14:alpha w14:val="39999"/>
            </w14:srgbClr>
          </w14:shadow>
        </w:rPr>
        <w:t>2019–2021 State and Federal Law Update</w:t>
      </w:r>
    </w:p>
    <w:p w:rsidR="009A32D7" w:rsidRDefault="00D72E89">
      <w:pPr>
        <w:pStyle w:val="BodyA"/>
        <w:spacing w:line="240" w:lineRule="auto"/>
        <w:jc w:val="center"/>
        <w:rPr>
          <w:sz w:val="28"/>
          <w:szCs w:val="28"/>
          <w14:shadow w14:blurRad="50800" w14:dist="19050" w14:dir="2700000" w14:sx="100000" w14:sy="100000" w14:kx="0" w14:ky="0" w14:algn="tl">
            <w14:srgbClr w14:val="000000">
              <w14:alpha w14:val="39999"/>
            </w14:srgbClr>
          </w14:shadow>
        </w:rPr>
      </w:pPr>
      <w:r>
        <w:rPr>
          <w:sz w:val="28"/>
          <w:szCs w:val="28"/>
          <w14:shadow w14:blurRad="50800" w14:dist="19050" w14:dir="2700000" w14:sx="100000" w14:sy="100000" w14:kx="0" w14:ky="0" w14:algn="tl">
            <w14:srgbClr w14:val="000000">
              <w14:alpha w14:val="39999"/>
            </w14:srgbClr>
          </w14:shadow>
        </w:rPr>
        <w:t>86</w:t>
      </w:r>
      <w:r>
        <w:rPr>
          <w:sz w:val="28"/>
          <w:szCs w:val="28"/>
          <w:vertAlign w:val="superscript"/>
          <w14:shadow w14:blurRad="50800" w14:dist="19050" w14:dir="2700000" w14:sx="100000" w14:sy="100000" w14:kx="0" w14:ky="0" w14:algn="tl">
            <w14:srgbClr w14:val="000000">
              <w14:alpha w14:val="39999"/>
            </w14:srgbClr>
          </w14:shadow>
        </w:rPr>
        <w:t>th</w:t>
      </w:r>
      <w:r>
        <w:rPr>
          <w:sz w:val="28"/>
          <w:szCs w:val="28"/>
          <w14:shadow w14:blurRad="50800" w14:dist="19050" w14:dir="2700000" w14:sx="100000" w14:sy="100000" w14:kx="0" w14:ky="0" w14:algn="tl">
            <w14:srgbClr w14:val="000000">
              <w14:alpha w14:val="39999"/>
            </w14:srgbClr>
          </w14:shadow>
        </w:rPr>
        <w:t xml:space="preserve"> </w:t>
      </w:r>
      <w:r>
        <w:rPr>
          <w:sz w:val="28"/>
          <w:szCs w:val="28"/>
          <w:lang w:val="it-IT"/>
          <w14:shadow w14:blurRad="50800" w14:dist="19050" w14:dir="2700000" w14:sx="100000" w14:sy="100000" w14:kx="0" w14:ky="0" w14:algn="tl">
            <w14:srgbClr w14:val="000000">
              <w14:alpha w14:val="39999"/>
            </w14:srgbClr>
          </w14:shadow>
        </w:rPr>
        <w:t>Legislative Session</w:t>
      </w:r>
    </w:p>
    <w:p w:rsidR="009A32D7" w:rsidRDefault="009A32D7">
      <w:pPr>
        <w:pStyle w:val="BodyA"/>
        <w:spacing w:line="240" w:lineRule="auto"/>
        <w:jc w:val="center"/>
      </w:pPr>
    </w:p>
    <w:p w:rsidR="009A32D7" w:rsidRDefault="00D72E89">
      <w:pPr>
        <w:pStyle w:val="BodyA"/>
        <w:spacing w:line="240" w:lineRule="auto"/>
        <w:jc w:val="center"/>
      </w:pPr>
      <w:r>
        <w:rPr>
          <w:noProof/>
        </w:rPr>
        <w:drawing>
          <wp:inline distT="0" distB="0" distL="0" distR="0">
            <wp:extent cx="5943601" cy="5656363"/>
            <wp:effectExtent l="0" t="0" r="0" b="0"/>
            <wp:docPr id="1073741825" name="officeArt object" descr="Macintosh HD:Users:Ferg:Dropbox:3183:TCOLE.png"/>
            <wp:cNvGraphicFramePr/>
            <a:graphic xmlns:a="http://schemas.openxmlformats.org/drawingml/2006/main">
              <a:graphicData uri="http://schemas.openxmlformats.org/drawingml/2006/picture">
                <pic:pic xmlns:pic="http://schemas.openxmlformats.org/drawingml/2006/picture">
                  <pic:nvPicPr>
                    <pic:cNvPr id="1073741825" name="Macintosh HD:Users:Ferg:Dropbox:3183:TCOLE.png" descr="Macintosh HD:Users:Ferg:Dropbox:3183:TCOLE.png"/>
                    <pic:cNvPicPr>
                      <a:picLocks noChangeAspect="1"/>
                    </pic:cNvPicPr>
                  </pic:nvPicPr>
                  <pic:blipFill>
                    <a:blip r:embed="rId7"/>
                    <a:srcRect l="17844" t="11095" r="19812" b="12143"/>
                    <a:stretch>
                      <a:fillRect/>
                    </a:stretch>
                  </pic:blipFill>
                  <pic:spPr>
                    <a:xfrm>
                      <a:off x="0" y="0"/>
                      <a:ext cx="5943601" cy="5656363"/>
                    </a:xfrm>
                    <a:prstGeom prst="rect">
                      <a:avLst/>
                    </a:prstGeom>
                    <a:ln w="12700" cap="flat">
                      <a:noFill/>
                      <a:miter lim="400000"/>
                    </a:ln>
                    <a:effectLst/>
                  </pic:spPr>
                </pic:pic>
              </a:graphicData>
            </a:graphic>
          </wp:inline>
        </w:drawing>
      </w:r>
    </w:p>
    <w:p w:rsidR="009A32D7" w:rsidRDefault="009A32D7">
      <w:pPr>
        <w:pStyle w:val="BodyA"/>
        <w:spacing w:line="240" w:lineRule="auto"/>
        <w:jc w:val="center"/>
      </w:pPr>
    </w:p>
    <w:p w:rsidR="009A32D7" w:rsidRDefault="009A32D7">
      <w:pPr>
        <w:pStyle w:val="BodyA"/>
        <w:spacing w:line="240" w:lineRule="auto"/>
        <w:jc w:val="center"/>
      </w:pPr>
    </w:p>
    <w:p w:rsidR="009A32D7" w:rsidRDefault="009A32D7">
      <w:pPr>
        <w:pStyle w:val="BodyA"/>
        <w:spacing w:line="240" w:lineRule="auto"/>
        <w:jc w:val="center"/>
      </w:pPr>
    </w:p>
    <w:p w:rsidR="009A32D7" w:rsidRDefault="009A32D7">
      <w:pPr>
        <w:pStyle w:val="BodyA"/>
        <w:spacing w:line="240" w:lineRule="auto"/>
        <w:jc w:val="center"/>
      </w:pPr>
    </w:p>
    <w:p w:rsidR="009A32D7" w:rsidRDefault="009A32D7">
      <w:pPr>
        <w:pStyle w:val="BodyA"/>
        <w:spacing w:line="240" w:lineRule="auto"/>
        <w:jc w:val="center"/>
      </w:pPr>
    </w:p>
    <w:p w:rsidR="009A32D7" w:rsidRDefault="00D72E89">
      <w:pPr>
        <w:pStyle w:val="BodyA"/>
        <w:spacing w:line="240" w:lineRule="auto"/>
        <w:jc w:val="center"/>
      </w:pPr>
      <w:r>
        <w:t xml:space="preserve">Commission Course </w:t>
      </w:r>
      <w:r>
        <w:rPr>
          <w:b/>
          <w:bCs/>
        </w:rPr>
        <w:t>3186</w:t>
      </w:r>
    </w:p>
    <w:p w:rsidR="009A32D7" w:rsidRDefault="00D72E89">
      <w:pPr>
        <w:pStyle w:val="BodyA"/>
        <w:spacing w:line="240" w:lineRule="auto"/>
        <w:jc w:val="center"/>
      </w:pPr>
      <w:r>
        <w:t xml:space="preserve">Revised </w:t>
      </w:r>
      <w:r>
        <w:rPr>
          <w:b/>
          <w:bCs/>
        </w:rPr>
        <w:t xml:space="preserve">August </w:t>
      </w:r>
      <w:r w:rsidR="00AC5552">
        <w:rPr>
          <w:b/>
          <w:bCs/>
        </w:rPr>
        <w:t>20</w:t>
      </w:r>
      <w:r>
        <w:rPr>
          <w:b/>
          <w:bCs/>
        </w:rPr>
        <w:t>, 2019</w:t>
      </w:r>
      <w:r>
        <w:rPr>
          <w:rFonts w:ascii="Arial Unicode MS" w:hAnsi="Arial Unicode MS"/>
        </w:rPr>
        <w:br w:type="page"/>
      </w:r>
    </w:p>
    <w:p w:rsidR="009A32D7" w:rsidRDefault="00D72E89">
      <w:pPr>
        <w:pStyle w:val="Heading"/>
      </w:pPr>
      <w:r>
        <w:lastRenderedPageBreak/>
        <w:t>Instructional Information</w:t>
      </w:r>
    </w:p>
    <w:p w:rsidR="009A32D7" w:rsidRDefault="00D72E89">
      <w:pPr>
        <w:pStyle w:val="BodyA"/>
        <w:spacing w:line="240" w:lineRule="auto"/>
        <w:jc w:val="both"/>
      </w:pPr>
      <w:r>
        <w:t xml:space="preserve">This document is provided as a courtesy for instructors. This handout is </w:t>
      </w:r>
      <w:r>
        <w:rPr>
          <w:u w:val="single"/>
        </w:rPr>
        <w:t>not</w:t>
      </w:r>
      <w:r>
        <w:t xml:space="preserve"> a TCOLE-approved lesson plan – it’s learning objectives and the suggested student handout. </w:t>
      </w:r>
      <w:r>
        <w:rPr>
          <w:b/>
          <w:bCs/>
        </w:rPr>
        <w:t>All instructors are required to develop their own lesson plan prior to instructing this or any other course</w:t>
      </w:r>
      <w:r>
        <w:t>. Feel free to use this document to help in developing your individual lesson plans and tailoring this course to your needs.</w:t>
      </w:r>
    </w:p>
    <w:p w:rsidR="009A32D7" w:rsidRDefault="00D72E89">
      <w:pPr>
        <w:pStyle w:val="BodyA"/>
        <w:spacing w:line="240" w:lineRule="auto"/>
        <w:jc w:val="both"/>
        <w:rPr>
          <w:b/>
          <w:bCs/>
          <w:u w:val="single"/>
        </w:rPr>
      </w:pPr>
      <w:r>
        <w:rPr>
          <w:b/>
          <w:bCs/>
          <w:u w:val="single"/>
        </w:rPr>
        <w:t>3186 Curriculum Committee:</w:t>
      </w:r>
    </w:p>
    <w:p w:rsidR="009A32D7" w:rsidRDefault="00D72E89">
      <w:pPr>
        <w:pStyle w:val="BodyA"/>
        <w:numPr>
          <w:ilvl w:val="0"/>
          <w:numId w:val="2"/>
        </w:numPr>
        <w:spacing w:line="240" w:lineRule="auto"/>
      </w:pPr>
      <w:r>
        <w:rPr>
          <w:b/>
          <w:bCs/>
        </w:rPr>
        <w:t>Clay Abbott, Esq.</w:t>
      </w:r>
      <w:r>
        <w:t>, Texas District and County Attorneys’ Association</w:t>
      </w:r>
    </w:p>
    <w:p w:rsidR="009A32D7" w:rsidRDefault="00D72E89">
      <w:pPr>
        <w:pStyle w:val="BodyA"/>
        <w:numPr>
          <w:ilvl w:val="0"/>
          <w:numId w:val="2"/>
        </w:numPr>
        <w:spacing w:line="240" w:lineRule="auto"/>
      </w:pPr>
      <w:r>
        <w:rPr>
          <w:b/>
          <w:bCs/>
        </w:rPr>
        <w:t>Susan K. Gregory-Brundage</w:t>
      </w:r>
      <w:r>
        <w:t>, Texas Commission on Law Enforcement</w:t>
      </w:r>
    </w:p>
    <w:p w:rsidR="009A32D7" w:rsidRDefault="00D72E89">
      <w:pPr>
        <w:pStyle w:val="BodyA"/>
        <w:numPr>
          <w:ilvl w:val="0"/>
          <w:numId w:val="2"/>
        </w:numPr>
        <w:spacing w:line="240" w:lineRule="auto"/>
      </w:pPr>
      <w:r>
        <w:rPr>
          <w:b/>
          <w:bCs/>
        </w:rPr>
        <w:t>Stephen Bynum</w:t>
      </w:r>
      <w:r>
        <w:t>, Texas Department of Public Safety</w:t>
      </w:r>
    </w:p>
    <w:p w:rsidR="009A32D7" w:rsidRDefault="00D72E89">
      <w:pPr>
        <w:pStyle w:val="BodyA"/>
        <w:numPr>
          <w:ilvl w:val="0"/>
          <w:numId w:val="2"/>
        </w:numPr>
        <w:spacing w:line="240" w:lineRule="auto"/>
      </w:pPr>
      <w:r>
        <w:rPr>
          <w:b/>
          <w:bCs/>
        </w:rPr>
        <w:t>Michael Ferguson</w:t>
      </w:r>
      <w:r>
        <w:t>, East Texas Police Academy, Chair</w:t>
      </w:r>
    </w:p>
    <w:p w:rsidR="009A32D7" w:rsidRDefault="00D72E89">
      <w:pPr>
        <w:pStyle w:val="BodyA"/>
        <w:numPr>
          <w:ilvl w:val="0"/>
          <w:numId w:val="2"/>
        </w:numPr>
        <w:spacing w:line="240" w:lineRule="auto"/>
      </w:pPr>
      <w:r>
        <w:rPr>
          <w:b/>
          <w:bCs/>
        </w:rPr>
        <w:t>Gretchen Grigsby</w:t>
      </w:r>
      <w:r>
        <w:t>, Texas Commission on Law Enforcement</w:t>
      </w:r>
    </w:p>
    <w:p w:rsidR="009A32D7" w:rsidRDefault="00D72E89">
      <w:pPr>
        <w:pStyle w:val="BodyA"/>
        <w:numPr>
          <w:ilvl w:val="0"/>
          <w:numId w:val="2"/>
        </w:numPr>
        <w:spacing w:line="240" w:lineRule="auto"/>
      </w:pPr>
      <w:r>
        <w:rPr>
          <w:b/>
          <w:bCs/>
        </w:rPr>
        <w:t>James Jones</w:t>
      </w:r>
      <w:r>
        <w:t>, Texas Department of Public Safety</w:t>
      </w:r>
    </w:p>
    <w:p w:rsidR="009A32D7" w:rsidRDefault="00D72E89">
      <w:pPr>
        <w:pStyle w:val="BodyA"/>
        <w:numPr>
          <w:ilvl w:val="0"/>
          <w:numId w:val="2"/>
        </w:numPr>
        <w:spacing w:line="240" w:lineRule="auto"/>
      </w:pPr>
      <w:r>
        <w:rPr>
          <w:b/>
          <w:bCs/>
        </w:rPr>
        <w:t>William “Bill” Kennedy</w:t>
      </w:r>
      <w:r>
        <w:t>, Nacogdoches Police Department</w:t>
      </w:r>
    </w:p>
    <w:p w:rsidR="009A32D7" w:rsidRDefault="00D72E89">
      <w:pPr>
        <w:pStyle w:val="BodyA"/>
        <w:numPr>
          <w:ilvl w:val="0"/>
          <w:numId w:val="2"/>
        </w:numPr>
        <w:spacing w:line="240" w:lineRule="auto"/>
      </w:pPr>
      <w:r>
        <w:rPr>
          <w:b/>
          <w:bCs/>
        </w:rPr>
        <w:t>Davis Merrell</w:t>
      </w:r>
      <w:r>
        <w:t xml:space="preserve">, </w:t>
      </w:r>
      <w:proofErr w:type="spellStart"/>
      <w:r>
        <w:t>DelMar</w:t>
      </w:r>
      <w:proofErr w:type="spellEnd"/>
      <w:r>
        <w:t xml:space="preserve"> Police Academy</w:t>
      </w:r>
    </w:p>
    <w:p w:rsidR="009A32D7" w:rsidRDefault="00D72E89">
      <w:pPr>
        <w:pStyle w:val="BodyA"/>
        <w:numPr>
          <w:ilvl w:val="0"/>
          <w:numId w:val="2"/>
        </w:numPr>
        <w:spacing w:line="240" w:lineRule="auto"/>
      </w:pPr>
      <w:r>
        <w:rPr>
          <w:b/>
          <w:bCs/>
        </w:rPr>
        <w:t>James Pierson</w:t>
      </w:r>
      <w:r>
        <w:t>, Rusk Co. County Attorney’s Office</w:t>
      </w:r>
    </w:p>
    <w:p w:rsidR="009A32D7" w:rsidRDefault="00D72E89">
      <w:pPr>
        <w:pStyle w:val="BodyA"/>
        <w:spacing w:line="240" w:lineRule="auto"/>
        <w:jc w:val="both"/>
        <w:rPr>
          <w:b/>
          <w:bCs/>
          <w:u w:val="single"/>
          <w:lang w:val="de-DE"/>
        </w:rPr>
      </w:pPr>
      <w:r>
        <w:rPr>
          <w:b/>
          <w:bCs/>
          <w:u w:val="single"/>
          <w:lang w:val="de-DE"/>
        </w:rPr>
        <w:t>Abstract:</w:t>
      </w:r>
    </w:p>
    <w:p w:rsidR="009A32D7" w:rsidRDefault="00D72E89">
      <w:pPr>
        <w:pStyle w:val="BodyA"/>
        <w:spacing w:line="240" w:lineRule="auto"/>
        <w:jc w:val="both"/>
      </w:pPr>
      <w:r>
        <w:t>Multiple bills passed by the 86</w:t>
      </w:r>
      <w:r>
        <w:rPr>
          <w:vertAlign w:val="superscript"/>
        </w:rPr>
        <w:t>th</w:t>
      </w:r>
      <w:r>
        <w:t xml:space="preserve"> legislative session will have an impact on Texas law enforcement. There were administrative changes, changes in existing statutes, and new laws. Texas’ law enforcement professionals will better serve their communities by increasing their awareness of changes and additions to state statutes as they pursue equality in justice and ensure public safety.</w:t>
      </w:r>
    </w:p>
    <w:p w:rsidR="009A32D7" w:rsidRDefault="00D72E89">
      <w:pPr>
        <w:pStyle w:val="BodyA"/>
        <w:spacing w:line="240" w:lineRule="auto"/>
        <w:jc w:val="both"/>
      </w:pPr>
      <w:r>
        <w:t xml:space="preserve">Case law, especially cases handed down by the </w:t>
      </w:r>
      <w:hyperlink r:id="rId8" w:history="1">
        <w:r>
          <w:rPr>
            <w:rStyle w:val="Hyperlink0"/>
          </w:rPr>
          <w:t>Supreme Court of the United States</w:t>
        </w:r>
      </w:hyperlink>
      <w:r>
        <w:t xml:space="preserve"> (SCOTUS), is of incredible importance to the administration of Justice. This curriculum will briefly cover recent judicial decisions that are important for law enforcement officers, administrators, and policy makers. </w:t>
      </w:r>
      <w:r>
        <w:rPr>
          <w:rStyle w:val="None"/>
          <w:b/>
          <w:bCs/>
          <w:shd w:val="clear" w:color="auto" w:fill="FFFF00"/>
        </w:rPr>
        <w:t xml:space="preserve">UNLESS OTHERWISE NOTED, BILLS GO INTO EFFECT ON </w:t>
      </w:r>
      <w:r>
        <w:rPr>
          <w:rStyle w:val="None"/>
          <w:b/>
          <w:bCs/>
          <w:u w:val="single"/>
          <w:shd w:val="clear" w:color="auto" w:fill="FFFF00"/>
        </w:rPr>
        <w:t>SEPTEMBER 1, 2019</w:t>
      </w:r>
      <w:r>
        <w:rPr>
          <w:rStyle w:val="None"/>
          <w:b/>
          <w:bCs/>
          <w:shd w:val="clear" w:color="auto" w:fill="FFFF00"/>
        </w:rPr>
        <w:t>.</w:t>
      </w:r>
    </w:p>
    <w:p w:rsidR="009A32D7" w:rsidRDefault="00D72E89">
      <w:pPr>
        <w:pStyle w:val="BodyA"/>
        <w:spacing w:line="240" w:lineRule="auto"/>
        <w:jc w:val="both"/>
        <w:rPr>
          <w:rStyle w:val="None"/>
          <w:b/>
          <w:bCs/>
          <w:u w:val="single"/>
        </w:rPr>
      </w:pPr>
      <w:r>
        <w:rPr>
          <w:rStyle w:val="None"/>
          <w:b/>
          <w:bCs/>
          <w:u w:val="single"/>
        </w:rPr>
        <w:t>Caveat:</w:t>
      </w:r>
    </w:p>
    <w:p w:rsidR="009A32D7" w:rsidRDefault="00D72E89">
      <w:pPr>
        <w:pStyle w:val="BodyA"/>
        <w:spacing w:line="240" w:lineRule="auto"/>
        <w:jc w:val="both"/>
        <w:rPr>
          <w:rStyle w:val="None"/>
          <w:color w:val="FF2600"/>
          <w:u w:color="FF2600"/>
        </w:rPr>
      </w:pPr>
      <w:r>
        <w:rPr>
          <w:rStyle w:val="None"/>
          <w:color w:val="FF2600"/>
          <w:u w:color="FF2600"/>
        </w:rPr>
        <w:t>This material is a general summary of selected court cases and changes to Texas’ criminal law as wrought by the 86</w:t>
      </w:r>
      <w:r>
        <w:rPr>
          <w:rStyle w:val="None"/>
          <w:color w:val="FF2600"/>
          <w:u w:color="FF2600"/>
          <w:vertAlign w:val="superscript"/>
        </w:rPr>
        <w:t>th</w:t>
      </w:r>
      <w:r>
        <w:rPr>
          <w:rStyle w:val="None"/>
          <w:color w:val="FF2600"/>
          <w:u w:color="FF2600"/>
        </w:rPr>
        <w:t xml:space="preserve"> session of the Texas Legislature. </w:t>
      </w:r>
      <w:r>
        <w:rPr>
          <w:rStyle w:val="None"/>
          <w:b/>
          <w:bCs/>
          <w:color w:val="FF2600"/>
          <w:u w:val="single" w:color="FF2600"/>
        </w:rPr>
        <w:t>This is not an all-inclusive recitation of every change, nor is it intended as legal advice</w:t>
      </w:r>
      <w:r>
        <w:rPr>
          <w:rStyle w:val="None"/>
          <w:color w:val="FF2600"/>
          <w:u w:color="FF2600"/>
        </w:rPr>
        <w:t xml:space="preserve">. Instructors and students must verify all legislative changes and case-law holdings discussed herein and are responsible for appropriate implementation of these changes. The following are merely </w:t>
      </w:r>
      <w:r>
        <w:rPr>
          <w:rStyle w:val="None"/>
          <w:color w:val="FF2600"/>
          <w:u w:val="single" w:color="FF2600"/>
        </w:rPr>
        <w:t>summaries</w:t>
      </w:r>
      <w:r>
        <w:rPr>
          <w:rStyle w:val="None"/>
          <w:color w:val="FF2600"/>
          <w:u w:color="FF2600"/>
        </w:rPr>
        <w:t xml:space="preserve"> of legislative changes and cases; there is simply no substitute, for both instructors and students, to reading the actual statutes, legislative acts, and cases. </w:t>
      </w:r>
      <w:r>
        <w:rPr>
          <w:rStyle w:val="None"/>
          <w:b/>
          <w:bCs/>
          <w:color w:val="FF2600"/>
          <w:u w:val="single" w:color="FF2600"/>
        </w:rPr>
        <w:t>If you have any questions, consult your local city, county, or district attorney</w:t>
      </w:r>
      <w:r>
        <w:rPr>
          <w:rStyle w:val="None"/>
          <w:color w:val="FF2600"/>
          <w:u w:color="FF2600"/>
        </w:rPr>
        <w:t>. The Texas Commission on Law Enforcement provides this material as-is and accepts no responsibility for the actions of officers and/or agents who act on the information contained herein.</w:t>
      </w:r>
    </w:p>
    <w:p w:rsidR="009A32D7" w:rsidRDefault="00D72E89">
      <w:pPr>
        <w:pStyle w:val="Body"/>
      </w:pPr>
      <w:r>
        <w:rPr>
          <w:rStyle w:val="None"/>
          <w:rFonts w:ascii="Arial Unicode MS" w:eastAsia="Arial Unicode MS" w:hAnsi="Arial Unicode MS" w:cs="Arial Unicode MS"/>
          <w:u w:val="single"/>
        </w:rPr>
        <w:br w:type="page"/>
      </w:r>
    </w:p>
    <w:p w:rsidR="009A32D7" w:rsidRDefault="00D72E89">
      <w:pPr>
        <w:pStyle w:val="BodyA"/>
        <w:spacing w:line="240" w:lineRule="auto"/>
        <w:jc w:val="both"/>
        <w:rPr>
          <w:rStyle w:val="None"/>
          <w:b/>
          <w:bCs/>
          <w:u w:val="single"/>
        </w:rPr>
      </w:pPr>
      <w:r>
        <w:rPr>
          <w:rStyle w:val="None"/>
          <w:b/>
          <w:bCs/>
          <w:u w:val="single"/>
        </w:rPr>
        <w:lastRenderedPageBreak/>
        <w:t>Target Population:</w:t>
      </w:r>
    </w:p>
    <w:p w:rsidR="009A32D7" w:rsidRDefault="00D72E89">
      <w:pPr>
        <w:pStyle w:val="BodyA"/>
        <w:numPr>
          <w:ilvl w:val="0"/>
          <w:numId w:val="4"/>
        </w:numPr>
        <w:spacing w:line="240" w:lineRule="auto"/>
        <w:jc w:val="both"/>
      </w:pPr>
      <w:r>
        <w:t>Law Enforcement Administrators</w:t>
      </w:r>
    </w:p>
    <w:p w:rsidR="009A32D7" w:rsidRDefault="00D72E89">
      <w:pPr>
        <w:pStyle w:val="BodyA"/>
        <w:numPr>
          <w:ilvl w:val="0"/>
          <w:numId w:val="4"/>
        </w:numPr>
        <w:spacing w:line="240" w:lineRule="auto"/>
        <w:jc w:val="both"/>
      </w:pPr>
      <w:r>
        <w:t>Peace Officers</w:t>
      </w:r>
    </w:p>
    <w:p w:rsidR="009A32D7" w:rsidRDefault="00D72E89">
      <w:pPr>
        <w:pStyle w:val="BodyA"/>
        <w:numPr>
          <w:ilvl w:val="0"/>
          <w:numId w:val="4"/>
        </w:numPr>
        <w:spacing w:line="240" w:lineRule="auto"/>
        <w:jc w:val="both"/>
      </w:pPr>
      <w:r>
        <w:t>Judges</w:t>
      </w:r>
    </w:p>
    <w:p w:rsidR="009A32D7" w:rsidRDefault="00D72E89">
      <w:pPr>
        <w:pStyle w:val="BodyA"/>
        <w:numPr>
          <w:ilvl w:val="0"/>
          <w:numId w:val="4"/>
        </w:numPr>
        <w:spacing w:line="240" w:lineRule="auto"/>
        <w:jc w:val="both"/>
      </w:pPr>
      <w:r>
        <w:t>Prosecuting Attorneys</w:t>
      </w:r>
    </w:p>
    <w:p w:rsidR="009A32D7" w:rsidRDefault="00D72E89">
      <w:pPr>
        <w:pStyle w:val="BodyA"/>
        <w:spacing w:line="240" w:lineRule="auto"/>
        <w:jc w:val="both"/>
        <w:rPr>
          <w:rStyle w:val="None"/>
          <w:b/>
          <w:bCs/>
          <w:u w:val="single"/>
        </w:rPr>
      </w:pPr>
      <w:r>
        <w:rPr>
          <w:rStyle w:val="None"/>
          <w:b/>
          <w:bCs/>
          <w:u w:val="single"/>
        </w:rPr>
        <w:t>Minimum Classroom Hours for TCOLE continuing education credit:</w:t>
      </w:r>
    </w:p>
    <w:p w:rsidR="009A32D7" w:rsidRDefault="00D72E89">
      <w:pPr>
        <w:pStyle w:val="BodyA"/>
        <w:numPr>
          <w:ilvl w:val="0"/>
          <w:numId w:val="6"/>
        </w:numPr>
        <w:spacing w:line="240" w:lineRule="auto"/>
        <w:jc w:val="both"/>
      </w:pPr>
      <w:r>
        <w:t>Three hours; four hours recommended.</w:t>
      </w:r>
    </w:p>
    <w:p w:rsidR="009A32D7" w:rsidRDefault="00D72E89">
      <w:pPr>
        <w:pStyle w:val="BodyA"/>
        <w:spacing w:line="240" w:lineRule="auto"/>
        <w:jc w:val="both"/>
        <w:rPr>
          <w:rStyle w:val="None"/>
          <w:b/>
          <w:bCs/>
          <w:u w:val="single"/>
        </w:rPr>
      </w:pPr>
      <w:r>
        <w:rPr>
          <w:rStyle w:val="None"/>
          <w:b/>
          <w:bCs/>
          <w:u w:val="single"/>
        </w:rPr>
        <w:t>Prerequisites for class participation:</w:t>
      </w:r>
    </w:p>
    <w:p w:rsidR="009A32D7" w:rsidRDefault="00D72E89">
      <w:pPr>
        <w:pStyle w:val="BodyA"/>
        <w:numPr>
          <w:ilvl w:val="0"/>
          <w:numId w:val="6"/>
        </w:numPr>
        <w:spacing w:line="240" w:lineRule="auto"/>
        <w:jc w:val="both"/>
      </w:pPr>
      <w:r>
        <w:t>None</w:t>
      </w:r>
    </w:p>
    <w:p w:rsidR="009A32D7" w:rsidRDefault="00D72E89">
      <w:pPr>
        <w:pStyle w:val="BodyA"/>
        <w:spacing w:line="240" w:lineRule="auto"/>
        <w:jc w:val="both"/>
        <w:rPr>
          <w:rStyle w:val="None"/>
          <w:b/>
          <w:bCs/>
          <w:u w:val="single"/>
        </w:rPr>
      </w:pPr>
      <w:r>
        <w:rPr>
          <w:rStyle w:val="None"/>
          <w:b/>
          <w:bCs/>
          <w:u w:val="single"/>
        </w:rPr>
        <w:t>Evaluation Process and Procedures:</w:t>
      </w:r>
    </w:p>
    <w:p w:rsidR="009A32D7" w:rsidRDefault="00D72E89">
      <w:pPr>
        <w:pStyle w:val="BodyA"/>
        <w:numPr>
          <w:ilvl w:val="0"/>
          <w:numId w:val="6"/>
        </w:numPr>
        <w:spacing w:line="240" w:lineRule="auto"/>
        <w:jc w:val="both"/>
      </w:pPr>
      <w:r>
        <w:t>Evaluation will be accomplished through classroom interaction between instructor and students; oral and written participation through case study; or discussion and written tests as the instructor and/or department deems appropriate.</w:t>
      </w:r>
    </w:p>
    <w:p w:rsidR="009A32D7" w:rsidRDefault="00D72E89">
      <w:pPr>
        <w:pStyle w:val="BodyA"/>
        <w:spacing w:line="240" w:lineRule="auto"/>
        <w:jc w:val="both"/>
        <w:rPr>
          <w:rStyle w:val="None"/>
          <w:b/>
          <w:bCs/>
          <w:u w:val="single"/>
        </w:rPr>
      </w:pPr>
      <w:r>
        <w:rPr>
          <w:rStyle w:val="None"/>
          <w:b/>
          <w:bCs/>
          <w:u w:val="single"/>
        </w:rPr>
        <w:t>Student Training Materials:</w:t>
      </w:r>
    </w:p>
    <w:p w:rsidR="009A32D7" w:rsidRDefault="00D72E89">
      <w:pPr>
        <w:pStyle w:val="BodyA"/>
        <w:numPr>
          <w:ilvl w:val="0"/>
          <w:numId w:val="6"/>
        </w:numPr>
        <w:spacing w:line="240" w:lineRule="auto"/>
        <w:jc w:val="both"/>
      </w:pPr>
      <w:r>
        <w:t>This handout covering the material presented in class.</w:t>
      </w:r>
    </w:p>
    <w:p w:rsidR="009A32D7" w:rsidRDefault="00D72E89">
      <w:pPr>
        <w:pStyle w:val="BodyA"/>
        <w:spacing w:line="240" w:lineRule="auto"/>
        <w:jc w:val="both"/>
        <w:rPr>
          <w:rStyle w:val="None"/>
          <w:b/>
          <w:bCs/>
          <w:u w:val="single"/>
        </w:rPr>
      </w:pPr>
      <w:r>
        <w:rPr>
          <w:rStyle w:val="None"/>
          <w:b/>
          <w:bCs/>
          <w:u w:val="single"/>
        </w:rPr>
        <w:t>Instructor Materials and Equipment/Supplies:</w:t>
      </w:r>
    </w:p>
    <w:p w:rsidR="009A32D7" w:rsidRDefault="00D72E89">
      <w:pPr>
        <w:pStyle w:val="BodyA"/>
        <w:numPr>
          <w:ilvl w:val="0"/>
          <w:numId w:val="6"/>
        </w:numPr>
        <w:spacing w:line="240" w:lineRule="auto"/>
        <w:jc w:val="both"/>
      </w:pPr>
      <w:r>
        <w:t>Course 3186 Lesson Plan and Course Objectives</w:t>
      </w:r>
    </w:p>
    <w:p w:rsidR="009A32D7" w:rsidRDefault="00D72E89">
      <w:pPr>
        <w:pStyle w:val="BodyA"/>
        <w:numPr>
          <w:ilvl w:val="0"/>
          <w:numId w:val="6"/>
        </w:numPr>
        <w:spacing w:line="240" w:lineRule="auto"/>
        <w:jc w:val="both"/>
      </w:pPr>
      <w:r>
        <w:t>Course 3186 PowerPoint/Keynote slides, if desired</w:t>
      </w:r>
    </w:p>
    <w:p w:rsidR="009A32D7" w:rsidRDefault="00D72E89">
      <w:pPr>
        <w:pStyle w:val="BodyA"/>
        <w:numPr>
          <w:ilvl w:val="0"/>
          <w:numId w:val="6"/>
        </w:numPr>
        <w:spacing w:line="240" w:lineRule="auto"/>
        <w:jc w:val="both"/>
      </w:pPr>
      <w:r>
        <w:t>Final examination</w:t>
      </w:r>
    </w:p>
    <w:p w:rsidR="009A32D7" w:rsidRDefault="00D72E89">
      <w:pPr>
        <w:pStyle w:val="BodyA"/>
        <w:numPr>
          <w:ilvl w:val="0"/>
          <w:numId w:val="6"/>
        </w:numPr>
        <w:spacing w:line="240" w:lineRule="auto"/>
        <w:jc w:val="both"/>
      </w:pPr>
      <w:r>
        <w:t>Computer (desktop or laptop) for slide presentation, if necessary</w:t>
      </w:r>
    </w:p>
    <w:p w:rsidR="009A32D7" w:rsidRDefault="00D72E89">
      <w:pPr>
        <w:pStyle w:val="BodyA"/>
        <w:numPr>
          <w:ilvl w:val="0"/>
          <w:numId w:val="6"/>
        </w:numPr>
        <w:spacing w:line="240" w:lineRule="auto"/>
        <w:jc w:val="both"/>
      </w:pPr>
      <w:r>
        <w:t>Presentation materials, handouts, exams, and lesson plan</w:t>
      </w:r>
    </w:p>
    <w:p w:rsidR="009A32D7" w:rsidRDefault="00D72E89">
      <w:pPr>
        <w:pStyle w:val="BodyA"/>
        <w:numPr>
          <w:ilvl w:val="0"/>
          <w:numId w:val="6"/>
        </w:numPr>
        <w:spacing w:line="240" w:lineRule="auto"/>
        <w:jc w:val="both"/>
      </w:pPr>
      <w:r>
        <w:t>Data Projector and screen for PowerPoint presentation, if necessary</w:t>
      </w:r>
    </w:p>
    <w:p w:rsidR="009A32D7" w:rsidRDefault="00D72E89">
      <w:pPr>
        <w:pStyle w:val="BodyA"/>
        <w:numPr>
          <w:ilvl w:val="0"/>
          <w:numId w:val="6"/>
        </w:numPr>
        <w:spacing w:line="240" w:lineRule="auto"/>
        <w:jc w:val="both"/>
      </w:pPr>
      <w:r>
        <w:t>Audio equipment (e.g., microphone and speaker system), if needed</w:t>
      </w:r>
    </w:p>
    <w:p w:rsidR="009A32D7" w:rsidRDefault="00D72E89">
      <w:pPr>
        <w:pStyle w:val="BodyA"/>
        <w:spacing w:line="240" w:lineRule="auto"/>
        <w:jc w:val="both"/>
        <w:rPr>
          <w:rStyle w:val="None"/>
          <w:b/>
          <w:bCs/>
          <w:u w:val="single"/>
        </w:rPr>
      </w:pPr>
      <w:r>
        <w:rPr>
          <w:rStyle w:val="None"/>
          <w:b/>
          <w:bCs/>
          <w:u w:val="single"/>
        </w:rPr>
        <w:t>Classroom Setup:</w:t>
      </w:r>
    </w:p>
    <w:p w:rsidR="009A32D7" w:rsidRDefault="00D72E89">
      <w:pPr>
        <w:pStyle w:val="BodyA"/>
        <w:numPr>
          <w:ilvl w:val="0"/>
          <w:numId w:val="8"/>
        </w:numPr>
        <w:spacing w:line="240" w:lineRule="auto"/>
        <w:jc w:val="both"/>
      </w:pPr>
      <w:r>
        <w:t>Chairs, desks, and tables arranged for easy viewing of visuals and note-taking</w:t>
      </w:r>
    </w:p>
    <w:p w:rsidR="009A32D7" w:rsidRDefault="00D72E89">
      <w:pPr>
        <w:pStyle w:val="BodyA"/>
        <w:numPr>
          <w:ilvl w:val="0"/>
          <w:numId w:val="8"/>
        </w:numPr>
        <w:spacing w:line="240" w:lineRule="auto"/>
        <w:jc w:val="both"/>
      </w:pPr>
      <w:r>
        <w:t>Adequate facilities to accommodate classroom, restroom, and break areas</w:t>
      </w:r>
    </w:p>
    <w:p w:rsidR="009A32D7" w:rsidRDefault="00D72E89">
      <w:pPr>
        <w:pStyle w:val="BodyA"/>
        <w:numPr>
          <w:ilvl w:val="0"/>
          <w:numId w:val="8"/>
        </w:numPr>
        <w:spacing w:line="240" w:lineRule="auto"/>
        <w:jc w:val="both"/>
      </w:pPr>
      <w:r>
        <w:t>Adequate audio equipment to accommodate related video or audio training material during presentation, if needed.</w:t>
      </w:r>
    </w:p>
    <w:p w:rsidR="009A32D7" w:rsidRDefault="00D72E89">
      <w:pPr>
        <w:pStyle w:val="BodyA"/>
        <w:spacing w:line="240" w:lineRule="auto"/>
        <w:jc w:val="both"/>
        <w:rPr>
          <w:rStyle w:val="None"/>
          <w:b/>
          <w:bCs/>
          <w:u w:val="single"/>
        </w:rPr>
      </w:pPr>
      <w:r>
        <w:rPr>
          <w:rStyle w:val="None"/>
          <w:b/>
          <w:bCs/>
          <w:u w:val="single"/>
        </w:rPr>
        <w:t>Preparation:</w:t>
      </w:r>
    </w:p>
    <w:p w:rsidR="009A32D7" w:rsidRDefault="00D72E89">
      <w:pPr>
        <w:pStyle w:val="BodyA"/>
        <w:numPr>
          <w:ilvl w:val="0"/>
          <w:numId w:val="10"/>
        </w:numPr>
        <w:spacing w:line="240" w:lineRule="auto"/>
        <w:jc w:val="both"/>
      </w:pPr>
      <w:r>
        <w:t>If you use a PowerPoint or Keynote presentation: review the presentation prior to class. Note that some of the points on a single law change (or additions to one specific law) are made with multiple slides. Print one set of the slides in outline style to be attached to this resource guide - if you have additional information to add to your presentation on any of the laws or how your agency will adapt or make changes, put those notes on the outline form. Also attach a copy of the test, the answer sheet and the handouts to your lesson plan.</w:t>
      </w:r>
    </w:p>
    <w:p w:rsidR="009A32D7" w:rsidRDefault="00D72E89">
      <w:pPr>
        <w:pStyle w:val="BodyA"/>
        <w:numPr>
          <w:ilvl w:val="0"/>
          <w:numId w:val="10"/>
        </w:numPr>
        <w:spacing w:line="240" w:lineRule="auto"/>
        <w:jc w:val="both"/>
      </w:pPr>
      <w:r>
        <w:lastRenderedPageBreak/>
        <w:t>Print handouts and tests from the master provided for the anticipated number of attendees prior to class time. Just prior to class, have the presentation on-screen and ready to go, handouts distributed, roster or registration forms signed and collected.</w:t>
      </w:r>
    </w:p>
    <w:p w:rsidR="009A32D7" w:rsidRDefault="00D72E89">
      <w:pPr>
        <w:pStyle w:val="BodyA"/>
        <w:spacing w:line="240" w:lineRule="auto"/>
        <w:jc w:val="both"/>
        <w:rPr>
          <w:rStyle w:val="None"/>
          <w:b/>
          <w:bCs/>
          <w:u w:val="single"/>
        </w:rPr>
      </w:pPr>
      <w:r>
        <w:rPr>
          <w:rStyle w:val="None"/>
          <w:b/>
          <w:bCs/>
          <w:u w:val="single"/>
        </w:rPr>
        <w:t>Presentation:</w:t>
      </w:r>
    </w:p>
    <w:p w:rsidR="009A32D7" w:rsidRDefault="00D72E89">
      <w:pPr>
        <w:pStyle w:val="BodyA"/>
        <w:numPr>
          <w:ilvl w:val="0"/>
          <w:numId w:val="12"/>
        </w:numPr>
        <w:spacing w:line="240" w:lineRule="auto"/>
        <w:jc w:val="both"/>
      </w:pPr>
      <w:r>
        <w:t xml:space="preserve">Introduce yourself, give your background and qualifications, and tell the students that it is each attendee’s responsibility to take notes on the changes, and to follow up for their own clarification if any changes or additions to the laws are related to their assigned duties. Also advise them that the sources for additional information on the Supreme Court cases are contained in their handout. Tell students that they will have a written, objective test that requires a 70% to pass at the end of the presentation. </w:t>
      </w:r>
    </w:p>
    <w:p w:rsidR="009A32D7" w:rsidRDefault="00D72E89">
      <w:pPr>
        <w:pStyle w:val="BodyA"/>
        <w:numPr>
          <w:ilvl w:val="0"/>
          <w:numId w:val="12"/>
        </w:numPr>
        <w:spacing w:line="240" w:lineRule="auto"/>
        <w:jc w:val="both"/>
      </w:pPr>
      <w:r>
        <w:t>Make your presentation while allowing attendees to comment and make comparisons on changes as they impact them. Re-emphasize that they have the sources listed to answer any detailed questions that they may have. Also remind them that any new laws or significant changes to existing statutes sometimes require an Attorney General’s opinion to know how the laws were intended to be enforced. Further, all legislative changes are subject to interpretation, conflict resolution, and implementation by trial court and appellate court opinions.</w:t>
      </w:r>
    </w:p>
    <w:p w:rsidR="009A32D7" w:rsidRDefault="00D72E89">
      <w:pPr>
        <w:pStyle w:val="BodyA"/>
        <w:spacing w:line="240" w:lineRule="auto"/>
        <w:jc w:val="both"/>
        <w:rPr>
          <w:rStyle w:val="None"/>
          <w:b/>
          <w:bCs/>
          <w:u w:val="single"/>
        </w:rPr>
      </w:pPr>
      <w:r>
        <w:rPr>
          <w:rStyle w:val="None"/>
          <w:b/>
          <w:bCs/>
          <w:u w:val="single"/>
        </w:rPr>
        <w:t>Student Learning Objectives for the Course:</w:t>
      </w:r>
    </w:p>
    <w:p w:rsidR="009A32D7" w:rsidRDefault="00D72E89">
      <w:pPr>
        <w:pStyle w:val="BodyA"/>
        <w:spacing w:line="240" w:lineRule="auto"/>
        <w:jc w:val="both"/>
      </w:pPr>
      <w:r>
        <w:t>Upon successful completion of this course, the student will be able to (“</w:t>
      </w:r>
      <w:r>
        <w:rPr>
          <w:rStyle w:val="None"/>
          <w:b/>
          <w:bCs/>
        </w:rPr>
        <w:t>SWBAT</w:t>
      </w:r>
      <w:r>
        <w:t>”):</w:t>
      </w:r>
    </w:p>
    <w:p w:rsidR="009A32D7" w:rsidRDefault="00D72E89">
      <w:pPr>
        <w:pStyle w:val="BodyA"/>
        <w:numPr>
          <w:ilvl w:val="0"/>
          <w:numId w:val="14"/>
        </w:numPr>
        <w:spacing w:line="240" w:lineRule="auto"/>
        <w:jc w:val="both"/>
      </w:pPr>
      <w:r>
        <w:t>Recognize selected changes and updates to the Commission on Law Enforcement and applicable TCOLE rules.</w:t>
      </w:r>
    </w:p>
    <w:p w:rsidR="009A32D7" w:rsidRDefault="00D72E89">
      <w:pPr>
        <w:pStyle w:val="BodyA"/>
        <w:numPr>
          <w:ilvl w:val="0"/>
          <w:numId w:val="14"/>
        </w:numPr>
        <w:spacing w:line="240" w:lineRule="auto"/>
        <w:jc w:val="both"/>
      </w:pPr>
      <w:r>
        <w:t>Recall selected cases handed down by the US Supreme Court.</w:t>
      </w:r>
    </w:p>
    <w:p w:rsidR="009A32D7" w:rsidRDefault="00D72E89">
      <w:pPr>
        <w:pStyle w:val="BodyA"/>
        <w:numPr>
          <w:ilvl w:val="0"/>
          <w:numId w:val="14"/>
        </w:numPr>
        <w:spacing w:line="240" w:lineRule="auto"/>
        <w:jc w:val="both"/>
      </w:pPr>
      <w:r>
        <w:t>Identify selected changes and updates to the Texas Penal Code.</w:t>
      </w:r>
    </w:p>
    <w:p w:rsidR="009A32D7" w:rsidRDefault="00D72E89">
      <w:pPr>
        <w:pStyle w:val="BodyA"/>
        <w:numPr>
          <w:ilvl w:val="0"/>
          <w:numId w:val="14"/>
        </w:numPr>
        <w:spacing w:line="240" w:lineRule="auto"/>
        <w:jc w:val="both"/>
      </w:pPr>
      <w:r>
        <w:t>Recognize selected changes and updates to the Texas Code of Criminal Procedure.</w:t>
      </w:r>
    </w:p>
    <w:p w:rsidR="009A32D7" w:rsidRDefault="00D72E89">
      <w:pPr>
        <w:pStyle w:val="BodyA"/>
        <w:numPr>
          <w:ilvl w:val="0"/>
          <w:numId w:val="14"/>
        </w:numPr>
        <w:spacing w:line="240" w:lineRule="auto"/>
        <w:jc w:val="both"/>
      </w:pPr>
      <w:r>
        <w:t>Recall selected changes and updates to the Texas Transportation Code.</w:t>
      </w:r>
    </w:p>
    <w:p w:rsidR="009A32D7" w:rsidRDefault="00D72E89">
      <w:pPr>
        <w:pStyle w:val="BodyA"/>
        <w:numPr>
          <w:ilvl w:val="0"/>
          <w:numId w:val="14"/>
        </w:numPr>
        <w:spacing w:line="240" w:lineRule="auto"/>
        <w:jc w:val="both"/>
      </w:pPr>
      <w:r>
        <w:t>Recognize selected changes and updates to other Texas statutes.</w:t>
      </w:r>
    </w:p>
    <w:p w:rsidR="009A32D7" w:rsidRDefault="00D72E89">
      <w:pPr>
        <w:pStyle w:val="BodyA"/>
        <w:spacing w:line="240" w:lineRule="auto"/>
        <w:jc w:val="both"/>
        <w:rPr>
          <w:rStyle w:val="None"/>
          <w:b/>
          <w:bCs/>
          <w:u w:val="single"/>
        </w:rPr>
      </w:pPr>
      <w:r>
        <w:rPr>
          <w:rStyle w:val="None"/>
          <w:b/>
          <w:bCs/>
          <w:u w:val="single"/>
        </w:rPr>
        <w:t xml:space="preserve">Final Notes: </w:t>
      </w:r>
    </w:p>
    <w:p w:rsidR="009A32D7" w:rsidRDefault="00D72E89">
      <w:pPr>
        <w:pStyle w:val="BodyA"/>
        <w:numPr>
          <w:ilvl w:val="0"/>
          <w:numId w:val="16"/>
        </w:numPr>
        <w:spacing w:line="240" w:lineRule="auto"/>
        <w:jc w:val="both"/>
      </w:pPr>
      <w:r>
        <w:t>Instructors may wish to remove pp. 2-4 prior to printing these handouts, as those pages are not intended for students. Doing so will help reduce your printing costs.</w:t>
      </w:r>
    </w:p>
    <w:p w:rsidR="009A32D7" w:rsidRDefault="00D72E89">
      <w:pPr>
        <w:pStyle w:val="BodyA"/>
        <w:numPr>
          <w:ilvl w:val="0"/>
          <w:numId w:val="16"/>
        </w:numPr>
        <w:spacing w:line="240" w:lineRule="auto"/>
        <w:jc w:val="both"/>
      </w:pPr>
      <w:r>
        <w:t>You may notice instances of the Legislature’s continued work to move toward gender-neutral terms (e.g., “public servant” or “person” rather than “he”) when writing elements of an offense. These simply reflect current grammatical usage.</w:t>
      </w:r>
    </w:p>
    <w:p w:rsidR="009A32D7" w:rsidRDefault="00D72E89">
      <w:pPr>
        <w:pStyle w:val="BodyA"/>
        <w:numPr>
          <w:ilvl w:val="0"/>
          <w:numId w:val="16"/>
        </w:numPr>
        <w:spacing w:line="240" w:lineRule="auto"/>
        <w:jc w:val="both"/>
      </w:pPr>
      <w:r>
        <w:t>You will notice multiple instances of the Legislature’s change in terminology for several offenses, using “health care” rather than “Medicaid.”</w:t>
      </w:r>
    </w:p>
    <w:p w:rsidR="009A32D7" w:rsidRDefault="00D72E89">
      <w:pPr>
        <w:pStyle w:val="BodyA"/>
        <w:numPr>
          <w:ilvl w:val="0"/>
          <w:numId w:val="16"/>
        </w:numPr>
        <w:spacing w:line="240" w:lineRule="auto"/>
        <w:jc w:val="both"/>
      </w:pPr>
      <w:r>
        <w:t xml:space="preserve">Lastly, we ask that you contact </w:t>
      </w:r>
      <w:hyperlink r:id="rId9" w:history="1">
        <w:r>
          <w:rPr>
            <w:rStyle w:val="Hyperlink1"/>
          </w:rPr>
          <w:t>Susan Brundage</w:t>
        </w:r>
      </w:hyperlink>
      <w:r>
        <w:t xml:space="preserve"> at </w:t>
      </w:r>
      <w:hyperlink r:id="rId10" w:history="1">
        <w:r>
          <w:rPr>
            <w:rStyle w:val="Hyperlink1"/>
          </w:rPr>
          <w:t>TCOLE</w:t>
        </w:r>
      </w:hyperlink>
      <w:r>
        <w:t xml:space="preserve"> if you find any mistakes or typos in this document</w:t>
      </w:r>
      <w:r>
        <w:rPr>
          <w:rStyle w:val="None"/>
          <w:kern w:val="2"/>
        </w:rPr>
        <w:t>.</w:t>
      </w:r>
      <w:r>
        <w:rPr>
          <w:rStyle w:val="None"/>
          <w:rFonts w:ascii="Arial Unicode MS" w:hAnsi="Arial Unicode MS"/>
          <w:kern w:val="2"/>
        </w:rPr>
        <w:br w:type="page"/>
      </w:r>
    </w:p>
    <w:p w:rsidR="009A32D7" w:rsidRDefault="00D72E89">
      <w:pPr>
        <w:pStyle w:val="Heading"/>
      </w:pPr>
      <w:r>
        <w:lastRenderedPageBreak/>
        <w:t>Changes and Updates to the Commission on Law Enforcement</w:t>
      </w:r>
    </w:p>
    <w:p w:rsidR="009A32D7" w:rsidRDefault="00D72E89">
      <w:pPr>
        <w:pStyle w:val="BodyA"/>
        <w:spacing w:line="240" w:lineRule="auto"/>
        <w:jc w:val="both"/>
      </w:pPr>
      <w:r>
        <w:rPr>
          <w:rStyle w:val="None"/>
          <w:b/>
          <w:bCs/>
          <w:u w:val="single"/>
        </w:rPr>
        <w:t>Learning Objective:</w:t>
      </w:r>
      <w:r>
        <w:t xml:space="preserve"> The SWBAT recognize selected changes and updates to the Commission on Law Enforcement and applicable TCOLE rules.</w:t>
      </w:r>
    </w:p>
    <w:p w:rsidR="009A32D7" w:rsidRDefault="00D72E89">
      <w:pPr>
        <w:pStyle w:val="BodyA"/>
        <w:spacing w:line="240" w:lineRule="auto"/>
        <w:jc w:val="both"/>
        <w:rPr>
          <w:rStyle w:val="None"/>
          <w:b/>
          <w:bCs/>
          <w:color w:val="0432FF"/>
          <w:u w:color="0432FF"/>
        </w:rPr>
      </w:pPr>
      <w:r>
        <w:rPr>
          <w:rStyle w:val="None"/>
          <w:b/>
          <w:bCs/>
          <w:color w:val="0432FF"/>
          <w:u w:color="0432FF"/>
        </w:rPr>
        <w:t>Legislative Changes</w:t>
      </w:r>
    </w:p>
    <w:p w:rsidR="009A32D7" w:rsidRDefault="00D72E89">
      <w:pPr>
        <w:pStyle w:val="BodyA"/>
        <w:spacing w:line="240" w:lineRule="auto"/>
        <w:jc w:val="both"/>
      </w:pPr>
      <w:r>
        <w:t xml:space="preserve">There were several bills passed during the 86th session that will have an impact on TCOLE. The following is a list of some of the changes of which you should be aware: </w:t>
      </w:r>
    </w:p>
    <w:p w:rsidR="009A32D7" w:rsidRDefault="00D72E89">
      <w:pPr>
        <w:pStyle w:val="BodyA"/>
        <w:numPr>
          <w:ilvl w:val="0"/>
          <w:numId w:val="18"/>
        </w:numPr>
        <w:spacing w:line="240" w:lineRule="auto"/>
        <w:jc w:val="both"/>
      </w:pPr>
      <w:r>
        <w:rPr>
          <w:rStyle w:val="None"/>
          <w:b/>
          <w:bCs/>
        </w:rPr>
        <w:t>HB292:</w:t>
      </w:r>
      <w:r>
        <w:t xml:space="preserve"> Adds Human Trafficking to the BPOC and now requires the course to be completed by new peace officers within two years of licensure, if not completed in the BPOC. </w:t>
      </w:r>
    </w:p>
    <w:p w:rsidR="009A32D7" w:rsidRDefault="00D72E89">
      <w:pPr>
        <w:pStyle w:val="BodyA"/>
        <w:numPr>
          <w:ilvl w:val="0"/>
          <w:numId w:val="18"/>
        </w:numPr>
        <w:spacing w:line="240" w:lineRule="auto"/>
        <w:jc w:val="both"/>
      </w:pPr>
      <w:r>
        <w:rPr>
          <w:rStyle w:val="None"/>
          <w:b/>
          <w:bCs/>
        </w:rPr>
        <w:t>HB971:</w:t>
      </w:r>
      <w:r>
        <w:t xml:space="preserve"> Allows a peace officer who served in the military to receive credit towards overall training hours needed to obtain an intermediate, advanced, or master proficiency certificate, just as college credit does now. [Occupations Code §1701.402] </w:t>
      </w:r>
    </w:p>
    <w:p w:rsidR="009A32D7" w:rsidRDefault="00D72E89">
      <w:pPr>
        <w:pStyle w:val="BodyA"/>
        <w:numPr>
          <w:ilvl w:val="0"/>
          <w:numId w:val="18"/>
        </w:numPr>
        <w:spacing w:line="240" w:lineRule="auto"/>
        <w:jc w:val="both"/>
      </w:pPr>
      <w:r>
        <w:rPr>
          <w:rStyle w:val="None"/>
          <w:b/>
          <w:bCs/>
        </w:rPr>
        <w:t>HB1415:</w:t>
      </w:r>
      <w:r>
        <w:t xml:space="preserve"> requires constables to complete the TCOLE course 3131 Civil Process Training at a college or university training provider each training cycle. </w:t>
      </w:r>
    </w:p>
    <w:p w:rsidR="009A32D7" w:rsidRDefault="00D72E89">
      <w:pPr>
        <w:pStyle w:val="BodyA"/>
        <w:numPr>
          <w:ilvl w:val="0"/>
          <w:numId w:val="18"/>
        </w:numPr>
        <w:spacing w:line="240" w:lineRule="auto"/>
        <w:jc w:val="both"/>
      </w:pPr>
      <w:r>
        <w:rPr>
          <w:rStyle w:val="None"/>
          <w:b/>
          <w:bCs/>
        </w:rPr>
        <w:t>HB2195 and SB11:</w:t>
      </w:r>
      <w:r>
        <w:t xml:space="preserve"> Add active-shooter training to the school-based law enforcement certification required for ISD PD officers and school resource officers. Under SB 11, this is now required for all ISD officers and SROs, not just those serving school districts of 30,000 students or more. Pay particular attention to the definition</w:t>
      </w:r>
      <w:r>
        <w:rPr>
          <w:rStyle w:val="None"/>
          <w:vertAlign w:val="superscript"/>
        </w:rPr>
        <w:footnoteReference w:id="2"/>
      </w:r>
      <w:r>
        <w:t xml:space="preserve"> of School Resource Officer under Occupations Code §1701.6011. [Education Code §37.0812; Occupations Code §1701.263(b)] </w:t>
      </w:r>
    </w:p>
    <w:p w:rsidR="009A32D7" w:rsidRDefault="00D72E89">
      <w:pPr>
        <w:pStyle w:val="BodyA"/>
        <w:numPr>
          <w:ilvl w:val="0"/>
          <w:numId w:val="18"/>
        </w:numPr>
        <w:spacing w:line="240" w:lineRule="auto"/>
        <w:jc w:val="both"/>
      </w:pPr>
      <w:r>
        <w:rPr>
          <w:rStyle w:val="None"/>
          <w:b/>
          <w:bCs/>
        </w:rPr>
        <w:t>HB4236:</w:t>
      </w:r>
      <w:r>
        <w:t xml:space="preserve"> This bill allows a law enforcement agency to permit a person who is captured in a body-worn camera recording of an incident to view the video. If the person is deceased, his or her authorized representative may be allowed to view the video. The video must be unedited and may not be copied. [Occupations Code §1701.660]  </w:t>
      </w:r>
    </w:p>
    <w:p w:rsidR="009A32D7" w:rsidRDefault="00D72E89">
      <w:pPr>
        <w:pStyle w:val="BodyA"/>
        <w:numPr>
          <w:ilvl w:val="0"/>
          <w:numId w:val="18"/>
        </w:numPr>
        <w:spacing w:line="240" w:lineRule="auto"/>
        <w:jc w:val="both"/>
      </w:pPr>
      <w:r>
        <w:rPr>
          <w:rStyle w:val="None"/>
          <w:b/>
          <w:bCs/>
        </w:rPr>
        <w:t>SB586:</w:t>
      </w:r>
      <w:r>
        <w:t xml:space="preserve"> This bill amends the Special Investigative Topics course (TCOLE course 3232) under OC §§1701.253(b) and 1701.352 to include trauma-informed techniques to recognize, investigate, and document child abuse or neglect, family violence, and sexual assault cases. [Occupations Code §§1701.253, 1701.352]</w:t>
      </w:r>
    </w:p>
    <w:p w:rsidR="009A32D7" w:rsidRDefault="00D72E89">
      <w:pPr>
        <w:pStyle w:val="BodyA"/>
        <w:numPr>
          <w:ilvl w:val="0"/>
          <w:numId w:val="18"/>
        </w:numPr>
        <w:spacing w:line="240" w:lineRule="auto"/>
        <w:jc w:val="both"/>
      </w:pPr>
      <w:r>
        <w:rPr>
          <w:rStyle w:val="None"/>
          <w:b/>
          <w:bCs/>
        </w:rPr>
        <w:t>SB971:</w:t>
      </w:r>
      <w:r>
        <w:t xml:space="preserve"> This bill also modifies the Special Investigative Topics course under OC §§1701.253(b) and 1701.352 to include instruction on recognizing and recording situations that indicate strangulation. [Occupations Code §§1701.253 and 1701.352]</w:t>
      </w:r>
    </w:p>
    <w:p w:rsidR="009A32D7" w:rsidRDefault="00D72E89">
      <w:pPr>
        <w:pStyle w:val="BodyA"/>
        <w:numPr>
          <w:ilvl w:val="0"/>
          <w:numId w:val="18"/>
        </w:numPr>
        <w:spacing w:line="240" w:lineRule="auto"/>
        <w:jc w:val="both"/>
      </w:pPr>
      <w:r>
        <w:rPr>
          <w:rStyle w:val="None"/>
          <w:b/>
          <w:bCs/>
        </w:rPr>
        <w:t>SB1397:</w:t>
      </w:r>
      <w:r>
        <w:t xml:space="preserve"> This bill matches the continuing education exemption for TxDPS Special Rangers, Special Texas Rangers, TPWD Special Game Wardens, and TABC Special Inspectors. [Occupations Code §1701.356]</w:t>
      </w:r>
    </w:p>
    <w:p w:rsidR="009A32D7" w:rsidRDefault="00D72E89">
      <w:pPr>
        <w:pStyle w:val="BodyA"/>
        <w:numPr>
          <w:ilvl w:val="0"/>
          <w:numId w:val="18"/>
        </w:numPr>
        <w:spacing w:line="240" w:lineRule="auto"/>
        <w:jc w:val="both"/>
      </w:pPr>
      <w:r>
        <w:rPr>
          <w:rStyle w:val="None"/>
          <w:b/>
          <w:bCs/>
        </w:rPr>
        <w:t>SB1827:</w:t>
      </w:r>
      <w:r>
        <w:t xml:space="preserve"> This bill allows peace officers who have completed training developed by TCOLE, in partnership with the Department of State Health Services, to possess and </w:t>
      </w:r>
      <w:r>
        <w:lastRenderedPageBreak/>
        <w:t>administer an epinephrine auto-injector in the case of an emergency. [Occupations Code Chapter 1701, Subchapter O]</w:t>
      </w:r>
    </w:p>
    <w:p w:rsidR="009A32D7" w:rsidRDefault="00D72E89">
      <w:pPr>
        <w:pStyle w:val="BodyA"/>
        <w:spacing w:line="240" w:lineRule="auto"/>
        <w:jc w:val="both"/>
        <w:rPr>
          <w:rStyle w:val="None"/>
          <w:b/>
          <w:bCs/>
          <w:color w:val="0432FF"/>
          <w:u w:color="0432FF"/>
        </w:rPr>
      </w:pPr>
      <w:r>
        <w:rPr>
          <w:rStyle w:val="None"/>
          <w:b/>
          <w:bCs/>
          <w:color w:val="0432FF"/>
          <w:u w:color="0432FF"/>
        </w:rPr>
        <w:t>Mandated Training Guidelines</w:t>
      </w:r>
    </w:p>
    <w:p w:rsidR="009A32D7" w:rsidRDefault="00D72E89">
      <w:pPr>
        <w:pStyle w:val="BodyA"/>
        <w:spacing w:line="240" w:lineRule="auto"/>
        <w:jc w:val="both"/>
      </w:pPr>
      <w:r>
        <w:t xml:space="preserve">To help understand the following information, students are reminded that a TCOLE training </w:t>
      </w:r>
      <w:r>
        <w:rPr>
          <w:rStyle w:val="None"/>
          <w:b/>
          <w:bCs/>
          <w:i/>
          <w:iCs/>
          <w:u w:val="single"/>
        </w:rPr>
        <w:t>cycle</w:t>
      </w:r>
      <w:r>
        <w:t xml:space="preserve"> is four years and a training </w:t>
      </w:r>
      <w:r>
        <w:rPr>
          <w:rStyle w:val="None"/>
          <w:b/>
          <w:bCs/>
          <w:i/>
          <w:iCs/>
          <w:u w:val="single"/>
        </w:rPr>
        <w:t>unit</w:t>
      </w:r>
      <w:r>
        <w:t xml:space="preserve"> is two years. The current cycle runs from 09/01/2017 – 08/31/2021. The cycle contains two units: 09/01/2017 – 08/31/2019 and 09/01/2019 – 08/31/2021. There are multiple requirements under Texas law for various types of peace officers.</w:t>
      </w:r>
    </w:p>
    <w:p w:rsidR="009A32D7" w:rsidRDefault="00D72E89">
      <w:pPr>
        <w:pStyle w:val="BodyA"/>
        <w:spacing w:line="240" w:lineRule="auto"/>
        <w:jc w:val="both"/>
      </w:pPr>
      <w:r>
        <w:t xml:space="preserve">During each training </w:t>
      </w:r>
      <w:r>
        <w:rPr>
          <w:rStyle w:val="None"/>
          <w:b/>
          <w:bCs/>
        </w:rPr>
        <w:t>unit</w:t>
      </w:r>
      <w:r>
        <w:t xml:space="preserve"> (09/01/2017 - 08/31/2019 and 09/01/2019 - 08/31/2021), all peace officers must take:</w:t>
      </w:r>
    </w:p>
    <w:p w:rsidR="009A32D7" w:rsidRDefault="00D72E89">
      <w:pPr>
        <w:pStyle w:val="BodyA"/>
        <w:numPr>
          <w:ilvl w:val="0"/>
          <w:numId w:val="20"/>
        </w:numPr>
        <w:spacing w:line="240" w:lineRule="auto"/>
        <w:jc w:val="both"/>
      </w:pPr>
      <w:r>
        <w:t>The current Legislative Update [TCOLE Rule 218.3(b)]</w:t>
      </w:r>
    </w:p>
    <w:p w:rsidR="009A32D7" w:rsidRDefault="00D72E89">
      <w:pPr>
        <w:pStyle w:val="BodyA"/>
        <w:numPr>
          <w:ilvl w:val="0"/>
          <w:numId w:val="20"/>
        </w:numPr>
        <w:spacing w:line="240" w:lineRule="auto"/>
        <w:jc w:val="both"/>
      </w:pPr>
      <w:r>
        <w:t>40 hours, including the above legal update course [TCOLE Rule 218.3(b)]</w:t>
      </w:r>
    </w:p>
    <w:p w:rsidR="009A32D7" w:rsidRDefault="00D72E89">
      <w:pPr>
        <w:pStyle w:val="BodyA"/>
        <w:spacing w:line="240" w:lineRule="auto"/>
        <w:jc w:val="both"/>
      </w:pPr>
      <w:r>
        <w:t xml:space="preserve">During this quadrennial training </w:t>
      </w:r>
      <w:r>
        <w:rPr>
          <w:rStyle w:val="None"/>
          <w:b/>
          <w:bCs/>
        </w:rPr>
        <w:t>cycle</w:t>
      </w:r>
      <w:r>
        <w:t xml:space="preserve"> (09/01/2017- 08/31/2021):</w:t>
      </w:r>
    </w:p>
    <w:p w:rsidR="009A32D7" w:rsidRDefault="008B77AC">
      <w:pPr>
        <w:pStyle w:val="BodyA"/>
        <w:numPr>
          <w:ilvl w:val="0"/>
          <w:numId w:val="22"/>
        </w:numPr>
        <w:spacing w:line="240" w:lineRule="auto"/>
        <w:jc w:val="both"/>
      </w:pPr>
      <w:r>
        <w:t>Peace</w:t>
      </w:r>
      <w:r w:rsidR="00D72E89">
        <w:t xml:space="preserve"> officer</w:t>
      </w:r>
      <w:r>
        <w:t>s who</w:t>
      </w:r>
      <w:r w:rsidR="00D72E89">
        <w:t xml:space="preserve"> </w:t>
      </w:r>
      <w:r w:rsidR="00D72E89" w:rsidRPr="008B77AC">
        <w:rPr>
          <w:rStyle w:val="None"/>
          <w:b/>
          <w:bCs/>
          <w:u w:val="single"/>
        </w:rPr>
        <w:t>do</w:t>
      </w:r>
      <w:r w:rsidR="00D72E89">
        <w:t xml:space="preserve"> have </w:t>
      </w:r>
      <w:r>
        <w:t>their</w:t>
      </w:r>
      <w:r w:rsidR="00D72E89">
        <w:t xml:space="preserve"> </w:t>
      </w:r>
      <w:r w:rsidR="00D72E89">
        <w:rPr>
          <w:rStyle w:val="None"/>
          <w:b/>
          <w:bCs/>
        </w:rPr>
        <w:t>intermediate certification</w:t>
      </w:r>
      <w:r w:rsidR="00D72E89">
        <w:t xml:space="preserve"> or higher: no cycle requirements.</w:t>
      </w:r>
    </w:p>
    <w:p w:rsidR="009A32D7" w:rsidRDefault="008B77AC">
      <w:pPr>
        <w:pStyle w:val="BodyA"/>
        <w:numPr>
          <w:ilvl w:val="0"/>
          <w:numId w:val="22"/>
        </w:numPr>
        <w:spacing w:line="240" w:lineRule="auto"/>
        <w:jc w:val="both"/>
      </w:pPr>
      <w:r>
        <w:t>P</w:t>
      </w:r>
      <w:r w:rsidR="00D72E89">
        <w:t>eace officer</w:t>
      </w:r>
      <w:r>
        <w:t>s</w:t>
      </w:r>
      <w:r w:rsidR="00D72E89">
        <w:t xml:space="preserve"> </w:t>
      </w:r>
      <w:r>
        <w:t xml:space="preserve">who </w:t>
      </w:r>
      <w:r w:rsidRPr="008B77AC">
        <w:rPr>
          <w:b/>
          <w:bCs/>
          <w:u w:val="single"/>
        </w:rPr>
        <w:t>do</w:t>
      </w:r>
      <w:r w:rsidR="00D72E89" w:rsidRPr="008B77AC">
        <w:rPr>
          <w:b/>
          <w:bCs/>
          <w:u w:val="single"/>
        </w:rPr>
        <w:t xml:space="preserve"> </w:t>
      </w:r>
      <w:r w:rsidR="00D72E89" w:rsidRPr="008B77AC">
        <w:rPr>
          <w:rStyle w:val="None"/>
          <w:b/>
          <w:bCs/>
          <w:u w:val="single"/>
        </w:rPr>
        <w:t>not</w:t>
      </w:r>
      <w:r w:rsidR="00D72E89">
        <w:t xml:space="preserve"> have their </w:t>
      </w:r>
      <w:r w:rsidR="00D72E89">
        <w:rPr>
          <w:rStyle w:val="None"/>
          <w:b/>
          <w:bCs/>
        </w:rPr>
        <w:t>intermediate certification</w:t>
      </w:r>
      <w:r w:rsidR="00D72E89">
        <w:t xml:space="preserve"> by the last day of the cycle:</w:t>
      </w:r>
    </w:p>
    <w:p w:rsidR="009A32D7" w:rsidRDefault="00D72E89">
      <w:pPr>
        <w:pStyle w:val="BodyA"/>
        <w:numPr>
          <w:ilvl w:val="1"/>
          <w:numId w:val="22"/>
        </w:numPr>
        <w:spacing w:line="240" w:lineRule="auto"/>
        <w:jc w:val="both"/>
      </w:pPr>
      <w:r>
        <w:t xml:space="preserve">Cultural Diversity (course 3939), Crisis Intervention Training (course 3843), Special Investigative Topics (course 3232), and De-escalation (course 1849). [TCOLE Rule 218.3(c)] </w:t>
      </w:r>
    </w:p>
    <w:p w:rsidR="009A32D7" w:rsidRDefault="00D72E89">
      <w:pPr>
        <w:pStyle w:val="BodyA"/>
        <w:spacing w:line="240" w:lineRule="auto"/>
        <w:jc w:val="both"/>
        <w:rPr>
          <w:rStyle w:val="None"/>
          <w:b/>
          <w:bCs/>
          <w:color w:val="0432FF"/>
          <w:u w:color="0432FF"/>
        </w:rPr>
      </w:pPr>
      <w:r>
        <w:rPr>
          <w:rStyle w:val="None"/>
          <w:b/>
          <w:bCs/>
          <w:color w:val="0432FF"/>
          <w:u w:color="0432FF"/>
        </w:rPr>
        <w:t>Miscellaneous requirements for peace officers</w:t>
      </w:r>
    </w:p>
    <w:p w:rsidR="009A32D7" w:rsidRDefault="00D72E89">
      <w:pPr>
        <w:pStyle w:val="BodyA"/>
        <w:numPr>
          <w:ilvl w:val="0"/>
          <w:numId w:val="24"/>
        </w:numPr>
        <w:spacing w:line="240" w:lineRule="auto"/>
        <w:jc w:val="both"/>
      </w:pPr>
      <w:r>
        <w:t xml:space="preserve">Peace Officers first licensed on or after </w:t>
      </w:r>
      <w:r>
        <w:rPr>
          <w:rStyle w:val="None"/>
          <w:b/>
          <w:bCs/>
          <w:u w:val="single"/>
        </w:rPr>
        <w:t>01/01/2011</w:t>
      </w:r>
      <w:r>
        <w:t xml:space="preserve"> must take Human Trafficking (course 3270) within two years of initial licensing, if not taken in BPOC. [TCOLE rule 218.3(e)]</w:t>
      </w:r>
    </w:p>
    <w:p w:rsidR="009A32D7" w:rsidRDefault="00D72E89">
      <w:pPr>
        <w:pStyle w:val="BodyA"/>
        <w:numPr>
          <w:ilvl w:val="0"/>
          <w:numId w:val="24"/>
        </w:numPr>
        <w:spacing w:line="240" w:lineRule="auto"/>
        <w:jc w:val="both"/>
      </w:pPr>
      <w:r>
        <w:t xml:space="preserve">Peace Officers first licensed on or after </w:t>
      </w:r>
      <w:r>
        <w:rPr>
          <w:rStyle w:val="None"/>
          <w:b/>
          <w:bCs/>
          <w:u w:val="single"/>
        </w:rPr>
        <w:t>01/01/2016</w:t>
      </w:r>
      <w:r>
        <w:t xml:space="preserve"> must take Canine Encounters (course 4065) within two years of initial licensing [TCOLE rule 218.3(e)], if not taken in BPOC. </w:t>
      </w:r>
    </w:p>
    <w:p w:rsidR="009A32D7" w:rsidRDefault="00D72E89">
      <w:pPr>
        <w:pStyle w:val="BodyA"/>
        <w:numPr>
          <w:ilvl w:val="0"/>
          <w:numId w:val="24"/>
        </w:numPr>
        <w:spacing w:line="240" w:lineRule="auto"/>
        <w:jc w:val="both"/>
      </w:pPr>
      <w:r>
        <w:t xml:space="preserve">Peace Officers first licensed on or after </w:t>
      </w:r>
      <w:r>
        <w:rPr>
          <w:rStyle w:val="None"/>
          <w:b/>
          <w:bCs/>
          <w:u w:val="single"/>
        </w:rPr>
        <w:t>03/01/2016</w:t>
      </w:r>
      <w:r>
        <w:t xml:space="preserve"> must take Interacting with Deaf and Hard of Hearing Drivers (course 7887) within two years of licensing, if not taken in the BPOC.</w:t>
      </w:r>
    </w:p>
    <w:p w:rsidR="009A32D7" w:rsidRDefault="00D72E89">
      <w:pPr>
        <w:pStyle w:val="BodyA"/>
        <w:numPr>
          <w:ilvl w:val="0"/>
          <w:numId w:val="24"/>
        </w:numPr>
        <w:spacing w:line="240" w:lineRule="auto"/>
        <w:jc w:val="both"/>
      </w:pPr>
      <w:r>
        <w:t xml:space="preserve">Peace Officers first licensed on or after </w:t>
      </w:r>
      <w:r>
        <w:rPr>
          <w:rStyle w:val="None"/>
          <w:b/>
          <w:bCs/>
          <w:u w:val="single"/>
        </w:rPr>
        <w:t>04/01/2018</w:t>
      </w:r>
      <w:r>
        <w:t xml:space="preserve"> must take the 40-hour CIT (course 1850) within two years of licensing [TCOLE rule 218.3(e)], if not taken in BPOC.</w:t>
      </w:r>
    </w:p>
    <w:p w:rsidR="009A32D7" w:rsidRDefault="00D72E89">
      <w:pPr>
        <w:pStyle w:val="BodyA"/>
        <w:numPr>
          <w:ilvl w:val="0"/>
          <w:numId w:val="25"/>
        </w:numPr>
        <w:spacing w:line="240" w:lineRule="auto"/>
        <w:jc w:val="both"/>
      </w:pPr>
      <w:r>
        <w:t xml:space="preserve">Peace Officers licensed </w:t>
      </w:r>
      <w:r>
        <w:rPr>
          <w:rStyle w:val="None"/>
          <w:b/>
          <w:bCs/>
          <w:u w:val="single"/>
        </w:rPr>
        <w:t>before 01/01/2018</w:t>
      </w:r>
      <w:r>
        <w:t xml:space="preserve"> must take Civilian Interaction Training Program (“CITP,” course 30418) by </w:t>
      </w:r>
      <w:r>
        <w:rPr>
          <w:rStyle w:val="None"/>
          <w:b/>
          <w:bCs/>
          <w:u w:val="single"/>
        </w:rPr>
        <w:t>01/01/20</w:t>
      </w:r>
      <w:r>
        <w:rPr>
          <w:rStyle w:val="None"/>
          <w:b/>
          <w:bCs/>
          <w:u w:val="single"/>
          <w:shd w:val="clear" w:color="auto" w:fill="FFFF00"/>
        </w:rPr>
        <w:t>20</w:t>
      </w:r>
      <w:r>
        <w:t>. All other officers</w:t>
      </w:r>
      <w:r w:rsidR="001C0AC7">
        <w:t>:</w:t>
      </w:r>
      <w:r>
        <w:t xml:space="preserve"> within </w:t>
      </w:r>
      <w:r w:rsidRPr="001C0AC7">
        <w:rPr>
          <w:u w:val="single"/>
        </w:rPr>
        <w:t>two years</w:t>
      </w:r>
      <w:r>
        <w:t xml:space="preserve"> </w:t>
      </w:r>
      <w:r w:rsidRPr="001C0AC7">
        <w:rPr>
          <w:u w:val="single"/>
        </w:rPr>
        <w:t>of initial licensing</w:t>
      </w:r>
      <w:r>
        <w:t>, if not taken in BPOC [TCOLE rule 218.3(e)].</w:t>
      </w:r>
    </w:p>
    <w:p w:rsidR="009A32D7" w:rsidRDefault="00D72E89">
      <w:pPr>
        <w:pStyle w:val="BodyA"/>
        <w:spacing w:line="240" w:lineRule="auto"/>
        <w:jc w:val="both"/>
        <w:rPr>
          <w:rStyle w:val="None"/>
          <w:b/>
          <w:bCs/>
          <w:color w:val="0432FF"/>
          <w:u w:color="0432FF"/>
        </w:rPr>
      </w:pPr>
      <w:r>
        <w:rPr>
          <w:rStyle w:val="None"/>
          <w:b/>
          <w:bCs/>
          <w:color w:val="0432FF"/>
          <w:u w:color="0432FF"/>
        </w:rPr>
        <w:t>Assignment-specific training information</w:t>
      </w:r>
    </w:p>
    <w:p w:rsidR="009A32D7" w:rsidRDefault="00D72E89">
      <w:pPr>
        <w:pStyle w:val="BodyA"/>
        <w:numPr>
          <w:ilvl w:val="0"/>
          <w:numId w:val="27"/>
        </w:numPr>
        <w:spacing w:line="240" w:lineRule="auto"/>
        <w:jc w:val="both"/>
      </w:pPr>
      <w:r>
        <w:t>Peace officers using body-worn cameras must take the Body Worn Camera course (no. 8158) before using the cameras [TCOLE rule 218.3(d)], if not taken in BPOC.</w:t>
      </w:r>
    </w:p>
    <w:p w:rsidR="009A32D7" w:rsidRDefault="00D72E89">
      <w:pPr>
        <w:pStyle w:val="BodyA"/>
        <w:numPr>
          <w:ilvl w:val="0"/>
          <w:numId w:val="27"/>
        </w:numPr>
        <w:spacing w:line="240" w:lineRule="auto"/>
        <w:jc w:val="both"/>
      </w:pPr>
      <w:r>
        <w:lastRenderedPageBreak/>
        <w:t xml:space="preserve">Peace officers appointed to court security at </w:t>
      </w:r>
      <w:r>
        <w:rPr>
          <w:rStyle w:val="None"/>
          <w:b/>
          <w:bCs/>
          <w:u w:val="single"/>
        </w:rPr>
        <w:t>ANY</w:t>
      </w:r>
      <w:r>
        <w:t xml:space="preserve"> level of court after </w:t>
      </w:r>
      <w:r>
        <w:rPr>
          <w:rStyle w:val="None"/>
          <w:b/>
          <w:bCs/>
        </w:rPr>
        <w:t>09/01/2017</w:t>
      </w:r>
      <w:r>
        <w:t xml:space="preserve"> must take the Court Security course (no. 10999) </w:t>
      </w:r>
      <w:r w:rsidRPr="00330BBC">
        <w:rPr>
          <w:u w:val="single"/>
        </w:rPr>
        <w:t>within one year</w:t>
      </w:r>
      <w:r>
        <w:t xml:space="preserve"> of assignment to that duty. Persons already appointed to courtroom security on </w:t>
      </w:r>
      <w:r>
        <w:rPr>
          <w:rStyle w:val="None"/>
          <w:b/>
          <w:bCs/>
        </w:rPr>
        <w:t>09/01/2017</w:t>
      </w:r>
      <w:r>
        <w:t xml:space="preserve"> are required to complete the course by </w:t>
      </w:r>
      <w:r>
        <w:rPr>
          <w:rStyle w:val="None"/>
          <w:b/>
          <w:bCs/>
        </w:rPr>
        <w:t>09/01/2019</w:t>
      </w:r>
      <w:r>
        <w:t xml:space="preserve"> [TCOLE rule 218.3(d) and SB42].</w:t>
      </w:r>
    </w:p>
    <w:p w:rsidR="009A32D7" w:rsidRDefault="00D72E89">
      <w:pPr>
        <w:pStyle w:val="BodyA"/>
        <w:numPr>
          <w:ilvl w:val="0"/>
          <w:numId w:val="27"/>
        </w:numPr>
        <w:spacing w:line="240" w:lineRule="auto"/>
        <w:jc w:val="both"/>
      </w:pPr>
      <w:r>
        <w:t xml:space="preserve">Peace officers performing the function of eyewitness identification, as designated by their agency, must first complete the Eyewitness Identification course (no. 3286), beginning </w:t>
      </w:r>
      <w:r>
        <w:rPr>
          <w:rStyle w:val="None"/>
          <w:b/>
          <w:bCs/>
        </w:rPr>
        <w:t>01/01/2018</w:t>
      </w:r>
      <w:r>
        <w:t xml:space="preserve"> [TCOLE rule 218.3(d)].</w:t>
      </w:r>
    </w:p>
    <w:p w:rsidR="009A32D7" w:rsidRDefault="00D72E89">
      <w:pPr>
        <w:pStyle w:val="BodyA"/>
        <w:numPr>
          <w:ilvl w:val="0"/>
          <w:numId w:val="27"/>
        </w:numPr>
        <w:spacing w:line="240" w:lineRule="auto"/>
        <w:jc w:val="both"/>
      </w:pPr>
      <w:r>
        <w:t xml:space="preserve">Peace officers performing the function of school district peace officer or school resource officer (“SRO”) must complete the School Based Law Enforcement Training (course 4064) within 180 days of assignment </w:t>
      </w:r>
      <w:r>
        <w:rPr>
          <w:rStyle w:val="None"/>
          <w:b/>
          <w:bCs/>
          <w:u w:val="single"/>
        </w:rPr>
        <w:t>and</w:t>
      </w:r>
      <w:r>
        <w:t xml:space="preserve"> a TCOLE-approved active-shooter training course</w:t>
      </w:r>
      <w:r>
        <w:rPr>
          <w:rStyle w:val="None"/>
          <w:vertAlign w:val="superscript"/>
        </w:rPr>
        <w:footnoteReference w:id="3"/>
      </w:r>
      <w:r>
        <w:t xml:space="preserve"> [TCOLE rule 218.3(d)].</w:t>
      </w:r>
    </w:p>
    <w:p w:rsidR="009A32D7" w:rsidRDefault="00D72E89">
      <w:pPr>
        <w:pStyle w:val="BodyA"/>
        <w:numPr>
          <w:ilvl w:val="0"/>
          <w:numId w:val="27"/>
        </w:numPr>
        <w:spacing w:line="240" w:lineRule="auto"/>
        <w:jc w:val="both"/>
      </w:pPr>
      <w:r>
        <w:t>Peace officers appointed to their first position as a law enforcement supervisor must complete New Supervisor course (no. 3737) within one year prior to or after the assignment [TCOLE rule 218.3(d)].</w:t>
      </w:r>
    </w:p>
    <w:p w:rsidR="009A32D7" w:rsidRDefault="00D72E89">
      <w:pPr>
        <w:pStyle w:val="BodyA"/>
        <w:numPr>
          <w:ilvl w:val="0"/>
          <w:numId w:val="27"/>
        </w:numPr>
        <w:spacing w:line="240" w:lineRule="auto"/>
        <w:jc w:val="both"/>
      </w:pPr>
      <w:r>
        <w:t>Peace officers at colleges and universities must complete a course on trauma-informed investigation into sexual assault / harassment / dating violence / stalking</w:t>
      </w:r>
      <w:r>
        <w:rPr>
          <w:rStyle w:val="None"/>
          <w:vertAlign w:val="superscript"/>
        </w:rPr>
        <w:footnoteReference w:id="4"/>
      </w:r>
      <w:r>
        <w:t>. No specific date is provided by statute.</w:t>
      </w:r>
    </w:p>
    <w:p w:rsidR="009A32D7" w:rsidRDefault="00D72E89" w:rsidP="00626C67">
      <w:pPr>
        <w:pStyle w:val="BodyA"/>
        <w:numPr>
          <w:ilvl w:val="0"/>
          <w:numId w:val="27"/>
        </w:numPr>
        <w:jc w:val="both"/>
      </w:pPr>
      <w:r>
        <w:t>Peace officers assigned to carry epinephrine auto-injectors (</w:t>
      </w:r>
      <w:r w:rsidR="00626C67">
        <w:t xml:space="preserve">e.g., an </w:t>
      </w:r>
      <w:r w:rsidR="00626C67" w:rsidRPr="00626C67">
        <w:t>EpiPen</w:t>
      </w:r>
      <w:r w:rsidR="00626C67" w:rsidRPr="00626C67">
        <w:rPr>
          <w:vertAlign w:val="superscript"/>
        </w:rPr>
        <w:t>®</w:t>
      </w:r>
      <w:r>
        <w:t>) must first complete training</w:t>
      </w:r>
      <w:r>
        <w:rPr>
          <w:rStyle w:val="None"/>
          <w:vertAlign w:val="superscript"/>
        </w:rPr>
        <w:footnoteReference w:id="5"/>
      </w:r>
      <w:r w:rsidR="00626C67">
        <w:t>,</w:t>
      </w:r>
      <w:r>
        <w:t xml:space="preserve"> if not taken in BPOC</w:t>
      </w:r>
      <w:r w:rsidR="00626C67">
        <w:t xml:space="preserve"> [TCOLE rule 218.3(d)],</w:t>
      </w:r>
      <w:r>
        <w:t>.</w:t>
      </w:r>
    </w:p>
    <w:p w:rsidR="009A32D7" w:rsidRDefault="00D72E89">
      <w:pPr>
        <w:pStyle w:val="BodyA"/>
        <w:numPr>
          <w:ilvl w:val="0"/>
          <w:numId w:val="27"/>
        </w:numPr>
        <w:spacing w:line="240" w:lineRule="auto"/>
        <w:jc w:val="both"/>
      </w:pPr>
      <w:r>
        <w:t xml:space="preserve">All temporary jailers must be </w:t>
      </w:r>
      <w:r>
        <w:rPr>
          <w:rStyle w:val="None"/>
          <w:b/>
          <w:bCs/>
          <w:u w:val="single"/>
        </w:rPr>
        <w:t>enrolled</w:t>
      </w:r>
      <w:r>
        <w:t xml:space="preserve"> in a Basic County Corrections Course (“BCCC”) within 90 days of appointment.</w:t>
      </w:r>
    </w:p>
    <w:p w:rsidR="009A32D7" w:rsidRDefault="00D72E89">
      <w:pPr>
        <w:pStyle w:val="BodyA"/>
        <w:numPr>
          <w:ilvl w:val="0"/>
          <w:numId w:val="27"/>
        </w:numPr>
        <w:spacing w:line="240" w:lineRule="auto"/>
        <w:jc w:val="both"/>
      </w:pPr>
      <w:r>
        <w:t xml:space="preserve">All current jailers must take the Mental Health course (no. 4900) by </w:t>
      </w:r>
      <w:r>
        <w:rPr>
          <w:rStyle w:val="None"/>
          <w:b/>
          <w:bCs/>
          <w:u w:val="single"/>
        </w:rPr>
        <w:t>08/31/2021</w:t>
      </w:r>
      <w:r>
        <w:t>, if not taken in BCCC [TCOLE rule 218.3(e)].</w:t>
      </w:r>
    </w:p>
    <w:p w:rsidR="009A32D7" w:rsidRDefault="00D72E89">
      <w:pPr>
        <w:pStyle w:val="BodyA"/>
        <w:numPr>
          <w:ilvl w:val="0"/>
          <w:numId w:val="27"/>
        </w:numPr>
        <w:spacing w:line="240" w:lineRule="auto"/>
        <w:jc w:val="both"/>
      </w:pPr>
      <w:r>
        <w:t xml:space="preserve">All </w:t>
      </w:r>
      <w:r>
        <w:rPr>
          <w:rStyle w:val="None"/>
          <w:b/>
          <w:bCs/>
          <w:u w:val="single"/>
        </w:rPr>
        <w:t>NEW</w:t>
      </w:r>
      <w:r>
        <w:t xml:space="preserve"> jail administrators must pass the TCJS/TCOLE Jail Administrator course on the TCOLE website within 180 days of assignment as administrator, beginning </w:t>
      </w:r>
      <w:r>
        <w:rPr>
          <w:rStyle w:val="None"/>
          <w:b/>
          <w:bCs/>
          <w:u w:val="single"/>
        </w:rPr>
        <w:t>03/01/2018</w:t>
      </w:r>
      <w:r>
        <w:t xml:space="preserve"> (Government Code §511.00905).</w:t>
      </w:r>
    </w:p>
    <w:p w:rsidR="009A32D7" w:rsidRDefault="00D72E89">
      <w:pPr>
        <w:pStyle w:val="BodyA"/>
        <w:numPr>
          <w:ilvl w:val="0"/>
          <w:numId w:val="27"/>
        </w:numPr>
        <w:spacing w:line="240" w:lineRule="auto"/>
        <w:jc w:val="both"/>
      </w:pPr>
      <w:r>
        <w:t xml:space="preserve">Jailers carrying a firearm as part as their assigned duty must first complete the TCOLE Jail Firearms course (no. 3599) </w:t>
      </w:r>
      <w:r>
        <w:rPr>
          <w:rStyle w:val="None"/>
          <w:b/>
          <w:bCs/>
          <w:u w:val="single"/>
        </w:rPr>
        <w:t>AND</w:t>
      </w:r>
      <w:r>
        <w:t xml:space="preserve"> obtain the Commission Jailer Firearm Certification.</w:t>
      </w:r>
    </w:p>
    <w:p w:rsidR="009A32D7" w:rsidRDefault="00D72E89">
      <w:pPr>
        <w:pStyle w:val="BodyA"/>
        <w:spacing w:line="240" w:lineRule="auto"/>
        <w:jc w:val="both"/>
      </w:pPr>
      <w:r>
        <w:t xml:space="preserve">There are other, very specific training mandates for constables, deputy constables, chiefs of police, jailers, and telecommunicators. Please check the Commission’s </w:t>
      </w:r>
      <w:hyperlink r:id="rId11" w:history="1">
        <w:r>
          <w:rPr>
            <w:rStyle w:val="Hyperlink1"/>
          </w:rPr>
          <w:t>Technical Assistance Bulletins page</w:t>
        </w:r>
      </w:hyperlink>
      <w:r>
        <w:t xml:space="preserve"> or the Training Mandate Guide for helpful guidance on these requirements. Your Field Service Agent is able to provide help, too. The FSAs are, as of the time of the production of this update, as follows:</w:t>
      </w:r>
    </w:p>
    <w:p w:rsidR="009A32D7" w:rsidRDefault="009A32D7">
      <w:pPr>
        <w:pStyle w:val="BodyA"/>
        <w:spacing w:line="240" w:lineRule="auto"/>
        <w:jc w:val="both"/>
        <w:rPr>
          <w:b/>
          <w:bCs/>
        </w:rPr>
      </w:pPr>
    </w:p>
    <w:p w:rsidR="009A32D7" w:rsidRDefault="00D72E89">
      <w:pPr>
        <w:pStyle w:val="Body"/>
      </w:pPr>
      <w:r>
        <w:rPr>
          <w:rStyle w:val="None"/>
          <w:rFonts w:ascii="Arial Unicode MS" w:eastAsia="Arial Unicode MS" w:hAnsi="Arial Unicode MS" w:cs="Arial Unicode MS"/>
        </w:rPr>
        <w:br w:type="page"/>
      </w:r>
    </w:p>
    <w:p w:rsidR="009A32D7" w:rsidRDefault="00D72E89">
      <w:pPr>
        <w:pStyle w:val="BodyA"/>
        <w:spacing w:line="240" w:lineRule="auto"/>
        <w:jc w:val="center"/>
        <w:rPr>
          <w:rStyle w:val="None"/>
          <w:b/>
          <w:bCs/>
        </w:rPr>
      </w:pPr>
      <w:r>
        <w:rPr>
          <w:rStyle w:val="None"/>
          <w:b/>
          <w:bCs/>
        </w:rPr>
        <w:lastRenderedPageBreak/>
        <w:t>Supervisory Agent for Field Services: Richard Gutierrez, 512-923-0916</w:t>
      </w:r>
    </w:p>
    <w:p w:rsidR="009A32D7" w:rsidRDefault="009A32D7">
      <w:pPr>
        <w:pStyle w:val="BodyA"/>
        <w:spacing w:line="240" w:lineRule="auto"/>
        <w:jc w:val="both"/>
        <w:rPr>
          <w:b/>
          <w:bCs/>
          <w:u w:val="single"/>
        </w:rPr>
      </w:pPr>
    </w:p>
    <w:p w:rsidR="009A32D7" w:rsidRDefault="00D72E89">
      <w:pPr>
        <w:pStyle w:val="BodyA"/>
        <w:spacing w:line="240" w:lineRule="auto"/>
        <w:jc w:val="both"/>
        <w:rPr>
          <w:rStyle w:val="None"/>
          <w:b/>
          <w:bCs/>
          <w:u w:val="single"/>
        </w:rPr>
      </w:pPr>
      <w:r>
        <w:rPr>
          <w:rStyle w:val="None"/>
          <w:b/>
          <w:bCs/>
          <w:u w:val="single"/>
        </w:rPr>
        <w:t>Location</w:t>
      </w:r>
      <w:r>
        <w:rPr>
          <w:rStyle w:val="None"/>
          <w:b/>
          <w:bCs/>
          <w:u w:val="single"/>
        </w:rPr>
        <w:tab/>
      </w:r>
      <w:r>
        <w:rPr>
          <w:rStyle w:val="None"/>
          <w:b/>
          <w:bCs/>
          <w:u w:val="single"/>
        </w:rPr>
        <w:tab/>
      </w:r>
      <w:r>
        <w:rPr>
          <w:rStyle w:val="None"/>
          <w:b/>
          <w:bCs/>
          <w:u w:val="single"/>
        </w:rPr>
        <w:tab/>
      </w:r>
      <w:r>
        <w:rPr>
          <w:rStyle w:val="None"/>
          <w:b/>
          <w:bCs/>
          <w:u w:val="single"/>
        </w:rPr>
        <w:tab/>
      </w:r>
      <w:r>
        <w:rPr>
          <w:rStyle w:val="None"/>
          <w:b/>
          <w:bCs/>
          <w:u w:val="single"/>
        </w:rPr>
        <w:tab/>
      </w:r>
      <w:r>
        <w:rPr>
          <w:rStyle w:val="None"/>
          <w:b/>
          <w:bCs/>
          <w:u w:val="single"/>
        </w:rPr>
        <w:tab/>
        <w:t>Field Agent</w:t>
      </w:r>
      <w:r>
        <w:rPr>
          <w:rStyle w:val="None"/>
          <w:b/>
          <w:bCs/>
          <w:u w:val="single"/>
        </w:rPr>
        <w:tab/>
      </w:r>
      <w:r>
        <w:rPr>
          <w:rStyle w:val="None"/>
          <w:b/>
          <w:bCs/>
          <w:u w:val="single"/>
        </w:rPr>
        <w:tab/>
        <w:t>Phone</w:t>
      </w:r>
    </w:p>
    <w:p w:rsidR="009A32D7" w:rsidRDefault="00D72E89">
      <w:pPr>
        <w:pStyle w:val="BodyA"/>
        <w:spacing w:line="240" w:lineRule="auto"/>
        <w:jc w:val="both"/>
      </w:pPr>
      <w:r>
        <w:t>Region 1 - Panhandle</w:t>
      </w:r>
      <w:r>
        <w:tab/>
      </w:r>
      <w:r>
        <w:tab/>
      </w:r>
      <w:r>
        <w:tab/>
      </w:r>
      <w:r>
        <w:tab/>
        <w:t>David Watkins</w:t>
      </w:r>
      <w:r>
        <w:tab/>
        <w:t>512-939-9454</w:t>
      </w:r>
    </w:p>
    <w:p w:rsidR="009A32D7" w:rsidRDefault="00D72E89">
      <w:pPr>
        <w:pStyle w:val="BodyA"/>
        <w:spacing w:line="240" w:lineRule="auto"/>
        <w:jc w:val="both"/>
      </w:pPr>
      <w:r>
        <w:t>Region 2 - West Texas</w:t>
      </w:r>
      <w:r>
        <w:tab/>
      </w:r>
      <w:r>
        <w:tab/>
      </w:r>
      <w:r>
        <w:tab/>
      </w:r>
      <w:r>
        <w:tab/>
      </w:r>
      <w:proofErr w:type="spellStart"/>
      <w:r>
        <w:t>Shain</w:t>
      </w:r>
      <w:proofErr w:type="spellEnd"/>
      <w:r>
        <w:t xml:space="preserve"> Burks</w:t>
      </w:r>
      <w:r>
        <w:tab/>
      </w:r>
      <w:r>
        <w:tab/>
        <w:t>512-354-6047</w:t>
      </w:r>
    </w:p>
    <w:p w:rsidR="009A32D7" w:rsidRDefault="00D72E89">
      <w:pPr>
        <w:pStyle w:val="BodyA"/>
        <w:spacing w:line="240" w:lineRule="auto"/>
        <w:jc w:val="both"/>
      </w:pPr>
      <w:r>
        <w:t>Region 3 - South Texas</w:t>
      </w:r>
      <w:r>
        <w:tab/>
      </w:r>
      <w:r>
        <w:tab/>
      </w:r>
      <w:r>
        <w:tab/>
      </w:r>
      <w:r>
        <w:tab/>
        <w:t>Derry Minor</w:t>
      </w:r>
      <w:r>
        <w:tab/>
      </w:r>
      <w:r>
        <w:tab/>
        <w:t>361-290-8517</w:t>
      </w:r>
    </w:p>
    <w:p w:rsidR="009A32D7" w:rsidRDefault="00D72E89">
      <w:pPr>
        <w:pStyle w:val="BodyA"/>
        <w:spacing w:line="240" w:lineRule="auto"/>
        <w:jc w:val="both"/>
      </w:pPr>
      <w:r>
        <w:t>Region 4 - South East Texas</w:t>
      </w:r>
      <w:r>
        <w:tab/>
      </w:r>
      <w:r>
        <w:tab/>
      </w:r>
      <w:r>
        <w:tab/>
        <w:t>Doug Staudt</w:t>
      </w:r>
      <w:r>
        <w:tab/>
      </w:r>
      <w:r>
        <w:tab/>
        <w:t>512-578-6775</w:t>
      </w:r>
    </w:p>
    <w:p w:rsidR="009A32D7" w:rsidRDefault="00D72E89">
      <w:pPr>
        <w:pStyle w:val="BodyA"/>
        <w:spacing w:line="240" w:lineRule="auto"/>
        <w:jc w:val="both"/>
      </w:pPr>
      <w:r>
        <w:t>Region 5 - North East Texas</w:t>
      </w:r>
      <w:r>
        <w:tab/>
      </w:r>
      <w:r>
        <w:tab/>
      </w:r>
      <w:r>
        <w:tab/>
        <w:t>Carey McKinney</w:t>
      </w:r>
      <w:r>
        <w:tab/>
        <w:t>903-948-0535</w:t>
      </w:r>
    </w:p>
    <w:p w:rsidR="009A32D7" w:rsidRDefault="00D72E89">
      <w:pPr>
        <w:pStyle w:val="BodyA"/>
        <w:spacing w:line="240" w:lineRule="auto"/>
        <w:jc w:val="both"/>
      </w:pPr>
      <w:r>
        <w:t>Region 6 - Northeast Central Texas</w:t>
      </w:r>
      <w:r>
        <w:tab/>
      </w:r>
      <w:r>
        <w:tab/>
        <w:t>Tom Bickers</w:t>
      </w:r>
      <w:r>
        <w:tab/>
      </w:r>
      <w:r>
        <w:tab/>
        <w:t>512-696-7583</w:t>
      </w:r>
    </w:p>
    <w:p w:rsidR="009A32D7" w:rsidRDefault="00D72E89">
      <w:pPr>
        <w:pStyle w:val="BodyA"/>
        <w:spacing w:line="240" w:lineRule="auto"/>
        <w:jc w:val="both"/>
      </w:pPr>
      <w:r>
        <w:t>Region 7 - Central Texas</w:t>
      </w:r>
      <w:r>
        <w:tab/>
      </w:r>
      <w:r>
        <w:tab/>
      </w:r>
      <w:r>
        <w:tab/>
      </w:r>
      <w:r>
        <w:tab/>
        <w:t>Jim Clifton</w:t>
      </w:r>
      <w:r>
        <w:tab/>
      </w:r>
      <w:r>
        <w:tab/>
        <w:t>512-750-6370</w:t>
      </w:r>
    </w:p>
    <w:p w:rsidR="009A32D7" w:rsidRDefault="00D72E89">
      <w:pPr>
        <w:pStyle w:val="BodyA"/>
        <w:spacing w:line="240" w:lineRule="auto"/>
        <w:jc w:val="both"/>
      </w:pPr>
      <w:r>
        <w:t>Region 8 - Northwest Central Texas</w:t>
      </w:r>
      <w:r>
        <w:tab/>
      </w:r>
      <w:r>
        <w:tab/>
        <w:t>Lynn Beard</w:t>
      </w:r>
      <w:r>
        <w:tab/>
      </w:r>
      <w:r>
        <w:tab/>
        <w:t>325-998-4433</w:t>
      </w:r>
    </w:p>
    <w:p w:rsidR="009A32D7" w:rsidRDefault="009A32D7">
      <w:pPr>
        <w:pStyle w:val="BodyA"/>
        <w:spacing w:line="240" w:lineRule="auto"/>
        <w:jc w:val="both"/>
      </w:pPr>
    </w:p>
    <w:p w:rsidR="009A32D7" w:rsidRDefault="00D72E89">
      <w:pPr>
        <w:pStyle w:val="Body"/>
        <w:jc w:val="center"/>
        <w:rPr>
          <w:rStyle w:val="None"/>
          <w:rFonts w:ascii="Arial" w:eastAsia="Arial" w:hAnsi="Arial" w:cs="Arial"/>
          <w:b/>
          <w:bCs/>
          <w:smallCaps/>
          <w:color w:val="0433FF"/>
          <w:sz w:val="30"/>
          <w:szCs w:val="30"/>
          <w:u w:color="0433FF"/>
          <w14:textOutline w14:w="12700" w14:cap="flat" w14:cmpd="sng" w14:algn="ctr">
            <w14:noFill/>
            <w14:prstDash w14:val="solid"/>
            <w14:miter w14:lim="400000"/>
          </w14:textOutline>
        </w:rPr>
      </w:pPr>
      <w:r>
        <w:rPr>
          <w:rFonts w:ascii="Arial" w:eastAsia="Arial" w:hAnsi="Arial" w:cs="Arial"/>
          <w:noProof/>
        </w:rPr>
        <w:drawing>
          <wp:inline distT="0" distB="0" distL="0" distR="0">
            <wp:extent cx="4358054" cy="4151792"/>
            <wp:effectExtent l="38100" t="38100" r="99695" b="102870"/>
            <wp:docPr id="1073741826" name="officeArt object" descr="map of defined regions"/>
            <wp:cNvGraphicFramePr/>
            <a:graphic xmlns:a="http://schemas.openxmlformats.org/drawingml/2006/main">
              <a:graphicData uri="http://schemas.openxmlformats.org/drawingml/2006/picture">
                <pic:pic xmlns:pic="http://schemas.openxmlformats.org/drawingml/2006/picture">
                  <pic:nvPicPr>
                    <pic:cNvPr id="1073741826" name="map of defined regions" descr="map of defined regions"/>
                    <pic:cNvPicPr>
                      <a:picLocks noChangeAspect="1"/>
                    </pic:cNvPicPr>
                  </pic:nvPicPr>
                  <pic:blipFill>
                    <a:blip r:embed="rId12"/>
                    <a:stretch>
                      <a:fillRect/>
                    </a:stretch>
                  </pic:blipFill>
                  <pic:spPr>
                    <a:xfrm>
                      <a:off x="0" y="0"/>
                      <a:ext cx="4358054" cy="4151792"/>
                    </a:xfrm>
                    <a:prstGeom prst="rect">
                      <a:avLst/>
                    </a:prstGeom>
                    <a:ln w="15875" cap="flat">
                      <a:solidFill>
                        <a:srgbClr val="000000"/>
                      </a:solidFill>
                      <a:prstDash val="solid"/>
                      <a:round/>
                    </a:ln>
                    <a:effectLst>
                      <a:outerShdw blurRad="50800" dist="38100" dir="2700000" rotWithShape="0">
                        <a:srgbClr val="000000">
                          <a:alpha val="40000"/>
                        </a:srgbClr>
                      </a:outerShdw>
                    </a:effectLst>
                  </pic:spPr>
                </pic:pic>
              </a:graphicData>
            </a:graphic>
          </wp:inline>
        </w:drawing>
      </w:r>
    </w:p>
    <w:p w:rsidR="009A32D7" w:rsidRDefault="00D72E89">
      <w:pPr>
        <w:pStyle w:val="Body"/>
      </w:pPr>
      <w:r>
        <w:rPr>
          <w:rFonts w:ascii="Arial Unicode MS" w:eastAsia="Arial Unicode MS" w:hAnsi="Arial Unicode MS" w:cs="Arial Unicode MS"/>
        </w:rPr>
        <w:br w:type="page"/>
      </w:r>
    </w:p>
    <w:p w:rsidR="009A32D7" w:rsidRDefault="00D72E89">
      <w:pPr>
        <w:pStyle w:val="Heading"/>
      </w:pPr>
      <w:r>
        <w:lastRenderedPageBreak/>
        <w:t>Relevant Case Law from the US Supreme Court</w:t>
      </w:r>
    </w:p>
    <w:p w:rsidR="009A32D7" w:rsidRDefault="00D72E89">
      <w:pPr>
        <w:pStyle w:val="BodyA"/>
        <w:spacing w:line="240" w:lineRule="auto"/>
        <w:jc w:val="both"/>
      </w:pPr>
      <w:r>
        <w:rPr>
          <w:rStyle w:val="None"/>
          <w:b/>
          <w:bCs/>
          <w:u w:val="single"/>
        </w:rPr>
        <w:t>Learning Objective:</w:t>
      </w:r>
      <w:r>
        <w:t xml:space="preserve"> The SWBAT recall selected cases handed down by the US Supreme Court in the last biennium. </w:t>
      </w:r>
    </w:p>
    <w:p w:rsidR="009A32D7" w:rsidRDefault="00D72E89">
      <w:pPr>
        <w:pStyle w:val="BodyA"/>
        <w:spacing w:line="240" w:lineRule="auto"/>
        <w:jc w:val="both"/>
        <w:rPr>
          <w:rStyle w:val="None"/>
          <w:b/>
          <w:bCs/>
          <w:smallCaps/>
          <w:color w:val="00A2FF"/>
          <w:u w:color="00A2FF"/>
        </w:rPr>
      </w:pPr>
      <w:r>
        <w:rPr>
          <w:rStyle w:val="None"/>
          <w:b/>
          <w:bCs/>
          <w:smallCaps/>
          <w:color w:val="00A2FF"/>
          <w:u w:color="00A2FF"/>
        </w:rPr>
        <w:t>Fourth Amendment Cases</w:t>
      </w:r>
    </w:p>
    <w:p w:rsidR="009A32D7" w:rsidRDefault="00F05EB6">
      <w:pPr>
        <w:pStyle w:val="BodyA"/>
        <w:spacing w:line="240" w:lineRule="auto"/>
        <w:jc w:val="both"/>
      </w:pPr>
      <w:hyperlink r:id="rId13" w:history="1">
        <w:r w:rsidR="00D72E89">
          <w:rPr>
            <w:rStyle w:val="Hyperlink2"/>
          </w:rPr>
          <w:t>Mitchell v. Wisconsin</w:t>
        </w:r>
        <w:r w:rsidR="00D72E89">
          <w:rPr>
            <w:rStyle w:val="Hyperlink1"/>
          </w:rPr>
          <w:t xml:space="preserve"> No 18-6210</w:t>
        </w:r>
      </w:hyperlink>
      <w:r w:rsidR="00D72E89">
        <w:t xml:space="preserve"> (June 27, 2019).</w:t>
      </w:r>
    </w:p>
    <w:p w:rsidR="009A32D7" w:rsidRDefault="00D72E89">
      <w:pPr>
        <w:pStyle w:val="BodyA"/>
        <w:spacing w:line="240" w:lineRule="auto"/>
        <w:jc w:val="both"/>
      </w:pPr>
      <w:r>
        <w:rPr>
          <w:rStyle w:val="None"/>
          <w:b/>
          <w:bCs/>
        </w:rPr>
        <w:t>Issue</w:t>
      </w:r>
      <w:r>
        <w:t>: Can an officer take blood from an unconscious DWI suspect w/o a warrant?</w:t>
      </w:r>
    </w:p>
    <w:p w:rsidR="009A32D7" w:rsidRDefault="00D72E89">
      <w:pPr>
        <w:pStyle w:val="BodyA"/>
        <w:spacing w:line="240" w:lineRule="auto"/>
        <w:jc w:val="both"/>
      </w:pPr>
      <w:r>
        <w:rPr>
          <w:rStyle w:val="None"/>
          <w:b/>
          <w:bCs/>
        </w:rPr>
        <w:t>Holding</w:t>
      </w:r>
      <w:r>
        <w:t>:  YES, those facts rise to the level of exigent circumstances which dispense with the warrant requirement. An unconscious defendant cannot give a breath sample. Being unconscious creates a medical emergency that could delay or taint a blood draw. These circumstances were exigent.</w:t>
      </w:r>
    </w:p>
    <w:p w:rsidR="009A32D7" w:rsidRDefault="00D72E89">
      <w:pPr>
        <w:pStyle w:val="BodyA"/>
        <w:spacing w:line="240" w:lineRule="auto"/>
        <w:jc w:val="both"/>
      </w:pPr>
      <w:r>
        <w:rPr>
          <w:rStyle w:val="None"/>
          <w:b/>
          <w:bCs/>
        </w:rPr>
        <w:t>Commentary</w:t>
      </w:r>
      <w:r>
        <w:t xml:space="preserve">: Get a warrant if you can. </w:t>
      </w:r>
      <w:r>
        <w:rPr>
          <w:rStyle w:val="None"/>
          <w:i/>
          <w:iCs/>
        </w:rPr>
        <w:t>Texas Courts may or may not follow this precedent</w:t>
      </w:r>
      <w:r>
        <w:t>. The bottom line is still to carefully document and testify to your circumstances. A great case, but not likely the last one on this issue.</w:t>
      </w:r>
    </w:p>
    <w:p w:rsidR="009A32D7" w:rsidRDefault="00F05EB6">
      <w:pPr>
        <w:pStyle w:val="BodyA"/>
        <w:spacing w:line="240" w:lineRule="auto"/>
        <w:jc w:val="both"/>
      </w:pPr>
      <w:hyperlink r:id="rId14" w:history="1">
        <w:r w:rsidR="00D72E89">
          <w:rPr>
            <w:rStyle w:val="Hyperlink2"/>
          </w:rPr>
          <w:t>Carpenter v. United States</w:t>
        </w:r>
        <w:r w:rsidR="00D72E89">
          <w:rPr>
            <w:rStyle w:val="Hyperlink1"/>
          </w:rPr>
          <w:t xml:space="preserve"> 138 </w:t>
        </w:r>
        <w:proofErr w:type="spellStart"/>
        <w:r w:rsidR="00D72E89">
          <w:rPr>
            <w:rStyle w:val="Hyperlink1"/>
          </w:rPr>
          <w:t>S.Ct</w:t>
        </w:r>
        <w:proofErr w:type="spellEnd"/>
        <w:r w:rsidR="00D72E89">
          <w:rPr>
            <w:rStyle w:val="Hyperlink1"/>
          </w:rPr>
          <w:t xml:space="preserve"> 2206</w:t>
        </w:r>
      </w:hyperlink>
      <w:r w:rsidR="00D72E89">
        <w:t xml:space="preserve"> (2018). </w:t>
      </w:r>
    </w:p>
    <w:p w:rsidR="009A32D7" w:rsidRDefault="00D72E89">
      <w:pPr>
        <w:pStyle w:val="BodyA"/>
        <w:spacing w:line="240" w:lineRule="auto"/>
        <w:jc w:val="both"/>
      </w:pPr>
      <w:r>
        <w:rPr>
          <w:rStyle w:val="None"/>
          <w:b/>
          <w:bCs/>
        </w:rPr>
        <w:t>Issue</w:t>
      </w:r>
      <w:r>
        <w:t>: Is a warrant required to obtain cell-site location info from a third-party wireless carrier?</w:t>
      </w:r>
    </w:p>
    <w:p w:rsidR="009A32D7" w:rsidRDefault="00D72E89">
      <w:pPr>
        <w:pStyle w:val="BodyA"/>
        <w:spacing w:line="240" w:lineRule="auto"/>
        <w:jc w:val="both"/>
      </w:pPr>
      <w:r>
        <w:rPr>
          <w:rStyle w:val="None"/>
          <w:b/>
          <w:bCs/>
        </w:rPr>
        <w:t>Holding</w:t>
      </w:r>
      <w:r>
        <w:t>: YES (absent exigent circumstances). The court emphasized the strong privacy interest in location information. Despite being known by a third party (the wireless carrier), the individual still has a legitimate privacy interest in their physical location and every movement with the phone. To protect this privacy interest the officer must get a warrant. Here there were no exigent circumstances, but the court pointed out they could exist in a bomb threat, active shooter, or kidnapping situation.</w:t>
      </w:r>
    </w:p>
    <w:p w:rsidR="009A32D7" w:rsidRDefault="00D72E89">
      <w:pPr>
        <w:pStyle w:val="BodyA"/>
        <w:spacing w:line="240" w:lineRule="auto"/>
        <w:jc w:val="both"/>
      </w:pPr>
      <w:r>
        <w:rPr>
          <w:rStyle w:val="None"/>
          <w:b/>
          <w:bCs/>
        </w:rPr>
        <w:t>Commentary</w:t>
      </w:r>
      <w:r>
        <w:t>: Again, get a warrant if you can. If you have an emergency, carefully document and testify to your circumstances.</w:t>
      </w:r>
    </w:p>
    <w:p w:rsidR="009A32D7" w:rsidRDefault="00F05EB6">
      <w:pPr>
        <w:pStyle w:val="BodyA"/>
        <w:spacing w:line="240" w:lineRule="auto"/>
        <w:jc w:val="both"/>
      </w:pPr>
      <w:hyperlink r:id="rId15" w:history="1">
        <w:r w:rsidR="00D72E89">
          <w:rPr>
            <w:rStyle w:val="Hyperlink2"/>
          </w:rPr>
          <w:t>Byrd v. United States</w:t>
        </w:r>
        <w:r w:rsidR="00D72E89">
          <w:rPr>
            <w:rStyle w:val="Hyperlink1"/>
          </w:rPr>
          <w:t xml:space="preserve">, 138 </w:t>
        </w:r>
        <w:proofErr w:type="spellStart"/>
        <w:r w:rsidR="00D72E89">
          <w:rPr>
            <w:rStyle w:val="Hyperlink1"/>
          </w:rPr>
          <w:t>S.Ct</w:t>
        </w:r>
        <w:proofErr w:type="spellEnd"/>
        <w:r w:rsidR="00D72E89">
          <w:rPr>
            <w:rStyle w:val="Hyperlink1"/>
          </w:rPr>
          <w:t>. 1518</w:t>
        </w:r>
      </w:hyperlink>
      <w:r w:rsidR="00D72E89">
        <w:t xml:space="preserve"> (2018).</w:t>
      </w:r>
    </w:p>
    <w:p w:rsidR="009A32D7" w:rsidRDefault="00D72E89">
      <w:pPr>
        <w:pStyle w:val="BodyA"/>
        <w:spacing w:line="240" w:lineRule="auto"/>
        <w:jc w:val="both"/>
      </w:pPr>
      <w:r>
        <w:rPr>
          <w:rStyle w:val="None"/>
          <w:b/>
          <w:bCs/>
        </w:rPr>
        <w:t>Issue</w:t>
      </w:r>
      <w:r>
        <w:t>: Does a driver not on a rental contract have a reasonable expectation of privacy in that rental vehicle?</w:t>
      </w:r>
    </w:p>
    <w:p w:rsidR="009A32D7" w:rsidRDefault="00D72E89">
      <w:pPr>
        <w:pStyle w:val="BodyA"/>
        <w:spacing w:line="240" w:lineRule="auto"/>
        <w:jc w:val="both"/>
      </w:pPr>
      <w:r>
        <w:rPr>
          <w:rStyle w:val="None"/>
          <w:b/>
          <w:bCs/>
        </w:rPr>
        <w:t>Holding</w:t>
      </w:r>
      <w:r>
        <w:t xml:space="preserve">: YES, so long as the driver has otherwise-lawful possession and control of the vehicle. It does not matter who is on the rental agreement or the terms of the agreement. The driver of a </w:t>
      </w:r>
      <w:r>
        <w:rPr>
          <w:rStyle w:val="None"/>
          <w:u w:val="single"/>
        </w:rPr>
        <w:t>stolen</w:t>
      </w:r>
      <w:r>
        <w:t xml:space="preserve"> car </w:t>
      </w:r>
      <w:r>
        <w:rPr>
          <w:rStyle w:val="None"/>
          <w:i/>
          <w:iCs/>
        </w:rPr>
        <w:t>does not</w:t>
      </w:r>
      <w:r>
        <w:t xml:space="preserve"> have a privacy interest; the </w:t>
      </w:r>
      <w:r>
        <w:rPr>
          <w:rStyle w:val="None"/>
          <w:u w:val="single"/>
        </w:rPr>
        <w:t>borrower</w:t>
      </w:r>
      <w:r>
        <w:t xml:space="preserve"> of a car, even a rental car, </w:t>
      </w:r>
      <w:r>
        <w:rPr>
          <w:rStyle w:val="None"/>
          <w:i/>
          <w:iCs/>
        </w:rPr>
        <w:t>does</w:t>
      </w:r>
      <w:r>
        <w:t>.</w:t>
      </w:r>
    </w:p>
    <w:p w:rsidR="009A32D7" w:rsidRDefault="00D72E89">
      <w:pPr>
        <w:pStyle w:val="BodyA"/>
        <w:spacing w:line="240" w:lineRule="auto"/>
        <w:jc w:val="both"/>
      </w:pPr>
      <w:r>
        <w:rPr>
          <w:rStyle w:val="None"/>
          <w:b/>
          <w:bCs/>
        </w:rPr>
        <w:t>Commentary</w:t>
      </w:r>
      <w:r>
        <w:t xml:space="preserve">: If the car is reported stolen, the officer can rely on that. If the suspect’s name is not on the rental agreement, that is not probable cause that it was stolen. This decision does not change Texas law in any way. The Court of Criminal Appeals held the same in </w:t>
      </w:r>
      <w:hyperlink r:id="rId16" w:history="1">
        <w:r>
          <w:rPr>
            <w:rStyle w:val="Hyperlink2"/>
          </w:rPr>
          <w:t>Parker v. State</w:t>
        </w:r>
        <w:r>
          <w:rPr>
            <w:rStyle w:val="Hyperlink1"/>
          </w:rPr>
          <w:t>, 182 S.W.3d 923 (2006)</w:t>
        </w:r>
      </w:hyperlink>
      <w:r>
        <w:t>.</w:t>
      </w:r>
    </w:p>
    <w:p w:rsidR="009A32D7" w:rsidRDefault="00F05EB6">
      <w:pPr>
        <w:pStyle w:val="BodyA"/>
        <w:spacing w:line="240" w:lineRule="auto"/>
        <w:jc w:val="both"/>
      </w:pPr>
      <w:hyperlink r:id="rId17" w:history="1">
        <w:proofErr w:type="spellStart"/>
        <w:r w:rsidR="00D72E89">
          <w:rPr>
            <w:rStyle w:val="Hyperlink2"/>
          </w:rPr>
          <w:t>Dahda</w:t>
        </w:r>
        <w:proofErr w:type="spellEnd"/>
        <w:r w:rsidR="00D72E89">
          <w:rPr>
            <w:rStyle w:val="Hyperlink2"/>
          </w:rPr>
          <w:t xml:space="preserve"> v. United States</w:t>
        </w:r>
        <w:r w:rsidR="00D72E89">
          <w:rPr>
            <w:rStyle w:val="Hyperlink1"/>
          </w:rPr>
          <w:t xml:space="preserve">, 138 </w:t>
        </w:r>
        <w:proofErr w:type="spellStart"/>
        <w:r w:rsidR="00D72E89">
          <w:rPr>
            <w:rStyle w:val="Hyperlink1"/>
          </w:rPr>
          <w:t>S.Ct</w:t>
        </w:r>
        <w:proofErr w:type="spellEnd"/>
        <w:r w:rsidR="00D72E89">
          <w:rPr>
            <w:rStyle w:val="Hyperlink1"/>
          </w:rPr>
          <w:t>. 1491 (2018)</w:t>
        </w:r>
      </w:hyperlink>
      <w:r w:rsidR="00D72E89">
        <w:t>.</w:t>
      </w:r>
    </w:p>
    <w:p w:rsidR="009A32D7" w:rsidRDefault="00D72E89">
      <w:pPr>
        <w:pStyle w:val="BodyA"/>
        <w:spacing w:line="240" w:lineRule="auto"/>
        <w:jc w:val="both"/>
      </w:pPr>
      <w:r>
        <w:rPr>
          <w:rStyle w:val="None"/>
          <w:b/>
          <w:bCs/>
        </w:rPr>
        <w:t>Issue</w:t>
      </w:r>
      <w:r>
        <w:t xml:space="preserve">: Does a federal wiretap order authorizing extra-jurisdictional interception require suppression of </w:t>
      </w:r>
      <w:r>
        <w:rPr>
          <w:rStyle w:val="None"/>
          <w:u w:val="single"/>
        </w:rPr>
        <w:t>all</w:t>
      </w:r>
      <w:r>
        <w:t xml:space="preserve"> intercepted communications?</w:t>
      </w:r>
    </w:p>
    <w:p w:rsidR="009A32D7" w:rsidRDefault="00D72E89">
      <w:pPr>
        <w:pStyle w:val="BodyA"/>
        <w:spacing w:line="240" w:lineRule="auto"/>
        <w:jc w:val="both"/>
      </w:pPr>
      <w:r>
        <w:rPr>
          <w:rStyle w:val="None"/>
          <w:b/>
          <w:bCs/>
        </w:rPr>
        <w:t>Holding</w:t>
      </w:r>
      <w:r>
        <w:t xml:space="preserve">: NO, the interceptions within the court’s jurisdiction are still valid; conversations recorded </w:t>
      </w:r>
      <w:r>
        <w:rPr>
          <w:rStyle w:val="None"/>
          <w:i/>
          <w:iCs/>
        </w:rPr>
        <w:t>outside</w:t>
      </w:r>
      <w:r>
        <w:t xml:space="preserve"> of the magistrate’s jurisdiction are suppressed, but conversations </w:t>
      </w:r>
      <w:r>
        <w:rPr>
          <w:rStyle w:val="None"/>
          <w:i/>
          <w:iCs/>
        </w:rPr>
        <w:t>in</w:t>
      </w:r>
      <w:r>
        <w:t xml:space="preserve"> the magistrate’s jurisdiction are admissible despite the overbreadth of the warrant. There was no issue of probable cause, but the warrant authorized things it legally could not. The remedy is exclusion of the </w:t>
      </w:r>
      <w:r w:rsidR="00722EEC">
        <w:t>improperly seized</w:t>
      </w:r>
      <w:r>
        <w:t xml:space="preserve"> evidence and not all evidence seized under the warrant.</w:t>
      </w:r>
    </w:p>
    <w:p w:rsidR="009A32D7" w:rsidRDefault="00D72E89">
      <w:pPr>
        <w:pStyle w:val="BodyA"/>
        <w:spacing w:line="240" w:lineRule="auto"/>
        <w:jc w:val="both"/>
      </w:pPr>
      <w:r>
        <w:rPr>
          <w:rStyle w:val="None"/>
          <w:b/>
          <w:bCs/>
        </w:rPr>
        <w:t>Commentary</w:t>
      </w:r>
      <w:r>
        <w:t>: No harm, no foul. A great case for when there are problems with a warrant, but not with the actual evidence seized under the warrant. It always goes better when you get a warrant.</w:t>
      </w:r>
    </w:p>
    <w:p w:rsidR="009A32D7" w:rsidRDefault="00F05EB6">
      <w:pPr>
        <w:pStyle w:val="BodyA"/>
        <w:spacing w:line="240" w:lineRule="auto"/>
        <w:jc w:val="both"/>
      </w:pPr>
      <w:hyperlink r:id="rId18" w:history="1">
        <w:r w:rsidR="00D72E89">
          <w:rPr>
            <w:rStyle w:val="Hyperlink2"/>
          </w:rPr>
          <w:t>Collins v. Virginia</w:t>
        </w:r>
        <w:r w:rsidR="00D72E89">
          <w:rPr>
            <w:rStyle w:val="Hyperlink1"/>
          </w:rPr>
          <w:t xml:space="preserve">, 138 </w:t>
        </w:r>
        <w:proofErr w:type="spellStart"/>
        <w:r w:rsidR="00D72E89">
          <w:rPr>
            <w:rStyle w:val="Hyperlink1"/>
          </w:rPr>
          <w:t>S.Ct</w:t>
        </w:r>
        <w:proofErr w:type="spellEnd"/>
        <w:r w:rsidR="00D72E89">
          <w:rPr>
            <w:rStyle w:val="Hyperlink1"/>
          </w:rPr>
          <w:t>. 1163 (2018)</w:t>
        </w:r>
      </w:hyperlink>
      <w:r w:rsidR="00D72E89">
        <w:t>.</w:t>
      </w:r>
    </w:p>
    <w:p w:rsidR="009A32D7" w:rsidRDefault="00D72E89">
      <w:pPr>
        <w:pStyle w:val="BodyA"/>
        <w:spacing w:line="240" w:lineRule="auto"/>
        <w:jc w:val="both"/>
      </w:pPr>
      <w:r>
        <w:rPr>
          <w:rStyle w:val="None"/>
          <w:b/>
          <w:bCs/>
        </w:rPr>
        <w:t>Issue</w:t>
      </w:r>
      <w:r>
        <w:t>: Does the “automobile exception” allow entry into an open carport to determine if a motorcycle parked there was stolen?</w:t>
      </w:r>
    </w:p>
    <w:p w:rsidR="009A32D7" w:rsidRDefault="00D72E89">
      <w:pPr>
        <w:pStyle w:val="BodyA"/>
        <w:spacing w:line="240" w:lineRule="auto"/>
        <w:jc w:val="both"/>
      </w:pPr>
      <w:r>
        <w:rPr>
          <w:rStyle w:val="None"/>
          <w:b/>
          <w:bCs/>
        </w:rPr>
        <w:t>Holding</w:t>
      </w:r>
      <w:r>
        <w:t>:  NO, the curtilage</w:t>
      </w:r>
      <w:r>
        <w:rPr>
          <w:rStyle w:val="None"/>
          <w:vertAlign w:val="superscript"/>
        </w:rPr>
        <w:footnoteReference w:id="6"/>
      </w:r>
      <w:r>
        <w:t xml:space="preserve"> of a home is entitled to the same protection as the home itself, so the automobile exception does not apply, and officers need a warrant. The automobile exception was the only one argued here. “Curtilage” is a difficult issue. This was more than a driveway and certainly more than a car on the street…but the vehicle was visible from the street.</w:t>
      </w:r>
    </w:p>
    <w:p w:rsidR="009A32D7" w:rsidRDefault="00D72E89">
      <w:pPr>
        <w:pStyle w:val="BodyA"/>
        <w:spacing w:line="240" w:lineRule="auto"/>
        <w:jc w:val="both"/>
      </w:pPr>
      <w:r>
        <w:rPr>
          <w:rStyle w:val="None"/>
          <w:b/>
          <w:bCs/>
        </w:rPr>
        <w:t>Commentary</w:t>
      </w:r>
      <w:r>
        <w:t>: When in doubt, get a warrant.</w:t>
      </w:r>
    </w:p>
    <w:p w:rsidR="009A32D7" w:rsidRDefault="00D72E89">
      <w:pPr>
        <w:pStyle w:val="BodyA"/>
        <w:spacing w:line="240" w:lineRule="auto"/>
        <w:jc w:val="both"/>
        <w:rPr>
          <w:rStyle w:val="None"/>
          <w:b/>
          <w:bCs/>
          <w:smallCaps/>
          <w:color w:val="00A2FF"/>
          <w:u w:color="00A2FF"/>
        </w:rPr>
      </w:pPr>
      <w:r>
        <w:rPr>
          <w:rStyle w:val="None"/>
          <w:b/>
          <w:bCs/>
          <w:smallCaps/>
          <w:color w:val="00A2FF"/>
          <w:u w:color="00A2FF"/>
        </w:rPr>
        <w:t>Officer Immunity Cases</w:t>
      </w:r>
    </w:p>
    <w:p w:rsidR="009A32D7" w:rsidRDefault="00F05EB6">
      <w:pPr>
        <w:pStyle w:val="BodyA"/>
        <w:spacing w:line="240" w:lineRule="auto"/>
        <w:jc w:val="both"/>
      </w:pPr>
      <w:hyperlink r:id="rId19" w:history="1">
        <w:proofErr w:type="spellStart"/>
        <w:r w:rsidR="00D72E89">
          <w:rPr>
            <w:rStyle w:val="Hyperlink2"/>
          </w:rPr>
          <w:t>Kisela</w:t>
        </w:r>
        <w:proofErr w:type="spellEnd"/>
        <w:r w:rsidR="00D72E89">
          <w:rPr>
            <w:rStyle w:val="Hyperlink2"/>
          </w:rPr>
          <w:t xml:space="preserve"> v. Hughes</w:t>
        </w:r>
        <w:r w:rsidR="00D72E89">
          <w:rPr>
            <w:rStyle w:val="Hyperlink1"/>
          </w:rPr>
          <w:t xml:space="preserve">, 138 </w:t>
        </w:r>
        <w:proofErr w:type="spellStart"/>
        <w:r w:rsidR="00D72E89">
          <w:rPr>
            <w:rStyle w:val="Hyperlink1"/>
          </w:rPr>
          <w:t>S.Ct</w:t>
        </w:r>
        <w:proofErr w:type="spellEnd"/>
        <w:r w:rsidR="00D72E89">
          <w:rPr>
            <w:rStyle w:val="Hyperlink1"/>
          </w:rPr>
          <w:t>. 1148 (2018)</w:t>
        </w:r>
        <w:r w:rsidR="00D72E89">
          <w:rPr>
            <w:rStyle w:val="Link"/>
          </w:rPr>
          <w:t>.</w:t>
        </w:r>
      </w:hyperlink>
    </w:p>
    <w:p w:rsidR="009A32D7" w:rsidRDefault="00D72E89">
      <w:pPr>
        <w:pStyle w:val="BodyA"/>
        <w:spacing w:line="240" w:lineRule="auto"/>
        <w:jc w:val="both"/>
      </w:pPr>
      <w:r>
        <w:rPr>
          <w:rStyle w:val="None"/>
          <w:b/>
          <w:bCs/>
        </w:rPr>
        <w:t>Issue</w:t>
      </w:r>
      <w:r>
        <w:t>: Was shooting a woman who refused to drop a knife she was holding, then took steps toward another person, excessive force?</w:t>
      </w:r>
    </w:p>
    <w:p w:rsidR="009A32D7" w:rsidRDefault="00D72E89">
      <w:pPr>
        <w:pStyle w:val="BodyA"/>
        <w:spacing w:line="240" w:lineRule="auto"/>
        <w:jc w:val="both"/>
      </w:pPr>
      <w:r>
        <w:rPr>
          <w:rStyle w:val="None"/>
          <w:b/>
          <w:bCs/>
        </w:rPr>
        <w:t>Holding</w:t>
      </w:r>
      <w:r>
        <w:t xml:space="preserve">: </w:t>
      </w:r>
      <w:r>
        <w:rPr>
          <w:rStyle w:val="None"/>
          <w:caps/>
        </w:rPr>
        <w:t>Not this time</w:t>
      </w:r>
      <w:r>
        <w:t>. This was a questionable shooting, but the officer can protect the third person -- and here, the court chose not to second-guess the officer. Mental-illness issues were front and center in this case, but the court recognized events unfold quickly and officers were not prepared enough for mental health issues.</w:t>
      </w:r>
    </w:p>
    <w:p w:rsidR="009A32D7" w:rsidRDefault="00D72E89">
      <w:pPr>
        <w:pStyle w:val="BodyA"/>
        <w:spacing w:line="240" w:lineRule="auto"/>
        <w:jc w:val="both"/>
      </w:pPr>
      <w:r>
        <w:rPr>
          <w:rStyle w:val="None"/>
          <w:b/>
          <w:bCs/>
        </w:rPr>
        <w:t>Commentary</w:t>
      </w:r>
      <w:r>
        <w:t>: Crisis intervention teams save lives; crisis intervention training saves lives. This case may not always go our way in the future.</w:t>
      </w:r>
    </w:p>
    <w:p w:rsidR="009A32D7" w:rsidRDefault="00F05EB6">
      <w:pPr>
        <w:pStyle w:val="BodyA"/>
        <w:spacing w:line="240" w:lineRule="auto"/>
        <w:jc w:val="both"/>
      </w:pPr>
      <w:hyperlink r:id="rId20" w:history="1">
        <w:r w:rsidR="00D72E89">
          <w:rPr>
            <w:rStyle w:val="Hyperlink2"/>
          </w:rPr>
          <w:t xml:space="preserve">District of Columbia v. </w:t>
        </w:r>
        <w:proofErr w:type="spellStart"/>
        <w:r w:rsidR="00D72E89">
          <w:rPr>
            <w:rStyle w:val="Hyperlink2"/>
          </w:rPr>
          <w:t>Wesby</w:t>
        </w:r>
        <w:proofErr w:type="spellEnd"/>
        <w:r w:rsidR="00D72E89">
          <w:rPr>
            <w:rStyle w:val="Hyperlink1"/>
          </w:rPr>
          <w:t xml:space="preserve">, 138 </w:t>
        </w:r>
        <w:proofErr w:type="spellStart"/>
        <w:r w:rsidR="00D72E89">
          <w:rPr>
            <w:rStyle w:val="Hyperlink1"/>
          </w:rPr>
          <w:t>S.Ct</w:t>
        </w:r>
        <w:proofErr w:type="spellEnd"/>
        <w:r w:rsidR="00D72E89">
          <w:rPr>
            <w:rStyle w:val="Hyperlink1"/>
          </w:rPr>
          <w:t>. 577 (2018)</w:t>
        </w:r>
      </w:hyperlink>
      <w:r w:rsidR="00D72E89">
        <w:t>.</w:t>
      </w:r>
    </w:p>
    <w:p w:rsidR="009A32D7" w:rsidRDefault="00D72E89">
      <w:pPr>
        <w:pStyle w:val="BodyA"/>
        <w:spacing w:line="240" w:lineRule="auto"/>
        <w:jc w:val="both"/>
      </w:pPr>
      <w:r>
        <w:rPr>
          <w:rStyle w:val="None"/>
          <w:b/>
          <w:bCs/>
        </w:rPr>
        <w:t>Issue</w:t>
      </w:r>
      <w:r>
        <w:t>: Can officers be sued for falsely arresting partiers in a vacant home they did not have permission to enter?</w:t>
      </w:r>
    </w:p>
    <w:p w:rsidR="009A32D7" w:rsidRDefault="00D72E89">
      <w:pPr>
        <w:pStyle w:val="BodyA"/>
        <w:spacing w:line="240" w:lineRule="auto"/>
        <w:jc w:val="both"/>
      </w:pPr>
      <w:r>
        <w:rPr>
          <w:rStyle w:val="None"/>
          <w:b/>
          <w:bCs/>
        </w:rPr>
        <w:t>Holding</w:t>
      </w:r>
      <w:r>
        <w:t xml:space="preserve">: NO; even if some </w:t>
      </w:r>
      <w:r w:rsidR="00366B15">
        <w:t>partygoers</w:t>
      </w:r>
      <w:r>
        <w:t xml:space="preserve"> believed they had the owner’s permission to be in the house, the totality of the circumstances justified the arrests. Some </w:t>
      </w:r>
      <w:r w:rsidR="00366B15">
        <w:t>partygoers</w:t>
      </w:r>
      <w:r>
        <w:t xml:space="preserve"> did not violate the law. There is a difference between </w:t>
      </w:r>
      <w:r>
        <w:rPr>
          <w:rStyle w:val="None"/>
          <w:i/>
          <w:iCs/>
        </w:rPr>
        <w:t>probable cause</w:t>
      </w:r>
      <w:r>
        <w:t xml:space="preserve"> and </w:t>
      </w:r>
      <w:r>
        <w:rPr>
          <w:rStyle w:val="None"/>
          <w:i/>
          <w:iCs/>
        </w:rPr>
        <w:t>beyond a reasonable doubt</w:t>
      </w:r>
      <w:r>
        <w:t>. Here, officers phoned the property owner, who was out of state, and did everything they reasonably could before making arrest. The court found they had immunity.</w:t>
      </w:r>
    </w:p>
    <w:p w:rsidR="009A32D7" w:rsidRDefault="00D72E89">
      <w:pPr>
        <w:pStyle w:val="BodyA"/>
        <w:spacing w:line="240" w:lineRule="auto"/>
        <w:jc w:val="both"/>
      </w:pPr>
      <w:r>
        <w:rPr>
          <w:rStyle w:val="None"/>
          <w:b/>
          <w:bCs/>
        </w:rPr>
        <w:t>Commentary</w:t>
      </w:r>
      <w:r>
        <w:t>: Good police work will save your butt, sloppy work will not.</w:t>
      </w:r>
    </w:p>
    <w:p w:rsidR="009A32D7" w:rsidRDefault="00D72E89">
      <w:pPr>
        <w:pStyle w:val="Heading"/>
      </w:pPr>
      <w:r>
        <w:t>Changes to the Texas Penal Code</w:t>
      </w:r>
    </w:p>
    <w:p w:rsidR="009A32D7" w:rsidRDefault="00D72E89">
      <w:pPr>
        <w:pStyle w:val="BodyA"/>
        <w:spacing w:line="240" w:lineRule="auto"/>
        <w:jc w:val="both"/>
      </w:pPr>
      <w:r>
        <w:rPr>
          <w:rStyle w:val="None"/>
          <w:b/>
          <w:bCs/>
          <w:u w:val="single"/>
        </w:rPr>
        <w:t>Learning objective:</w:t>
      </w:r>
      <w:r>
        <w:t xml:space="preserve"> The SWBAT identify selected changes and updates to the Texas Penal Code.</w:t>
      </w:r>
    </w:p>
    <w:p w:rsidR="009A32D7" w:rsidRDefault="00D72E89">
      <w:pPr>
        <w:pStyle w:val="BodyA"/>
        <w:spacing w:line="240" w:lineRule="auto"/>
        <w:jc w:val="both"/>
      </w:pPr>
      <w:r>
        <w:rPr>
          <w:rStyle w:val="None"/>
          <w:b/>
          <w:bCs/>
        </w:rPr>
        <w:t xml:space="preserve">3.03, SENTENCES FOR OFFENSES ARISING OUT OF THE SAME CRIMINAL EPISODE [SB20]: </w:t>
      </w:r>
      <w:r>
        <w:t xml:space="preserve">Amends subdivision (b)(5) to allow stacking of sentences with offenses committed under PC 20A.03, </w:t>
      </w:r>
      <w:r>
        <w:rPr>
          <w:rStyle w:val="None"/>
          <w:i/>
          <w:iCs/>
        </w:rPr>
        <w:t>Continuous Trafficking of Persons</w:t>
      </w:r>
      <w:r>
        <w:t xml:space="preserve">, PC 20A.02, </w:t>
      </w:r>
      <w:r>
        <w:rPr>
          <w:rStyle w:val="None"/>
          <w:i/>
          <w:iCs/>
        </w:rPr>
        <w:t>Trafficking of Persons</w:t>
      </w:r>
      <w:r>
        <w:t xml:space="preserve">, or PC 43.05, </w:t>
      </w:r>
      <w:r>
        <w:rPr>
          <w:rStyle w:val="None"/>
          <w:i/>
          <w:iCs/>
        </w:rPr>
        <w:t>Compelling Prostitution</w:t>
      </w:r>
      <w:r>
        <w:t>.</w:t>
      </w:r>
      <w:r>
        <w:rPr>
          <w:rStyle w:val="None"/>
          <w:b/>
          <w:bCs/>
        </w:rPr>
        <w:t xml:space="preserve"> </w:t>
      </w:r>
    </w:p>
    <w:p w:rsidR="009A32D7" w:rsidRDefault="00D72E89">
      <w:pPr>
        <w:pStyle w:val="BodyA"/>
        <w:spacing w:line="240" w:lineRule="auto"/>
        <w:jc w:val="both"/>
      </w:pPr>
      <w:r>
        <w:rPr>
          <w:rStyle w:val="None"/>
          <w:b/>
          <w:bCs/>
        </w:rPr>
        <w:t>12.50, PENALTY IF OFFENSE COMMITTED IN DISASTER AREA OR EVACUATED AREA [HB1028]:</w:t>
      </w:r>
      <w:r>
        <w:t xml:space="preserve"> House Bill 1028 amends this section by removing a necessity defense appearing unnecessarily in this section and adding the following sections to those that are eligible for enhancement under this statute:</w:t>
      </w:r>
    </w:p>
    <w:p w:rsidR="009A32D7" w:rsidRDefault="00D72E89">
      <w:pPr>
        <w:pStyle w:val="BodyA"/>
        <w:numPr>
          <w:ilvl w:val="0"/>
          <w:numId w:val="29"/>
        </w:numPr>
        <w:spacing w:line="240" w:lineRule="auto"/>
        <w:jc w:val="both"/>
      </w:pPr>
      <w:r>
        <w:t xml:space="preserve">§28.02, </w:t>
      </w:r>
      <w:r>
        <w:rPr>
          <w:rStyle w:val="None"/>
          <w:i/>
          <w:iCs/>
        </w:rPr>
        <w:t>Arson</w:t>
      </w:r>
    </w:p>
    <w:p w:rsidR="009A32D7" w:rsidRDefault="00D72E89">
      <w:pPr>
        <w:pStyle w:val="BodyA"/>
        <w:numPr>
          <w:ilvl w:val="0"/>
          <w:numId w:val="29"/>
        </w:numPr>
        <w:spacing w:line="240" w:lineRule="auto"/>
        <w:jc w:val="both"/>
      </w:pPr>
      <w:r>
        <w:t xml:space="preserve">§30.03, </w:t>
      </w:r>
      <w:r>
        <w:rPr>
          <w:rStyle w:val="None"/>
          <w:i/>
          <w:iCs/>
        </w:rPr>
        <w:t>Burglary of Coin-Operated or Coin Collection Machines</w:t>
      </w:r>
    </w:p>
    <w:p w:rsidR="009A32D7" w:rsidRDefault="00D72E89">
      <w:pPr>
        <w:pStyle w:val="BodyA"/>
        <w:numPr>
          <w:ilvl w:val="0"/>
          <w:numId w:val="29"/>
        </w:numPr>
        <w:spacing w:line="240" w:lineRule="auto"/>
        <w:jc w:val="both"/>
      </w:pPr>
      <w:r>
        <w:t xml:space="preserve">§30.04, </w:t>
      </w:r>
      <w:r>
        <w:rPr>
          <w:rStyle w:val="None"/>
          <w:i/>
          <w:iCs/>
        </w:rPr>
        <w:t>Burglary of Vehicles</w:t>
      </w:r>
    </w:p>
    <w:p w:rsidR="009A32D7" w:rsidRDefault="00D72E89">
      <w:pPr>
        <w:pStyle w:val="BodyA"/>
        <w:numPr>
          <w:ilvl w:val="0"/>
          <w:numId w:val="29"/>
        </w:numPr>
        <w:spacing w:line="240" w:lineRule="auto"/>
        <w:jc w:val="both"/>
      </w:pPr>
      <w:r>
        <w:t xml:space="preserve">§30.05, </w:t>
      </w:r>
      <w:r>
        <w:rPr>
          <w:rStyle w:val="None"/>
          <w:i/>
          <w:iCs/>
        </w:rPr>
        <w:t>Criminal Trespass</w:t>
      </w:r>
    </w:p>
    <w:p w:rsidR="009A32D7" w:rsidRDefault="00D72E89">
      <w:pPr>
        <w:pStyle w:val="BodyA"/>
        <w:spacing w:line="240" w:lineRule="auto"/>
        <w:jc w:val="both"/>
      </w:pPr>
      <w:r>
        <w:rPr>
          <w:rStyle w:val="None"/>
          <w:b/>
          <w:bCs/>
        </w:rPr>
        <w:t xml:space="preserve">19.03, CAPITAL MURDER [SB719]: </w:t>
      </w:r>
      <w:r>
        <w:t>Senate Bill 719, “Lauren's Law,” amends the Code of Criminal Procedure and Penal Code to include the murder of an individual 10 YOA through 14 YOA as conduct that constitutes capital murder. This new change prohibits the death penalty in cases filed under these new circumstances; in other words, the only option for punishment is life without parole.</w:t>
      </w:r>
    </w:p>
    <w:p w:rsidR="009A32D7" w:rsidRDefault="00D72E89">
      <w:pPr>
        <w:pStyle w:val="BodyA"/>
        <w:spacing w:line="240" w:lineRule="auto"/>
        <w:jc w:val="both"/>
      </w:pPr>
      <w:r>
        <w:rPr>
          <w:rStyle w:val="None"/>
          <w:b/>
          <w:bCs/>
        </w:rPr>
        <w:t>20.07, OPERATION OF A STASH HOUSE [HB2613]:</w:t>
      </w:r>
      <w:r>
        <w:t xml:space="preserve"> House Bill 2613 creates this new offense, which states:</w:t>
      </w:r>
    </w:p>
    <w:p w:rsidR="009A32D7" w:rsidRDefault="00D72E89">
      <w:pPr>
        <w:pStyle w:val="BodyA"/>
        <w:spacing w:line="240" w:lineRule="auto"/>
        <w:jc w:val="both"/>
      </w:pPr>
      <w:r>
        <w:t>(a) A person commits an offense if the person knowingly:</w:t>
      </w:r>
    </w:p>
    <w:p w:rsidR="009A32D7" w:rsidRDefault="00D72E89">
      <w:pPr>
        <w:pStyle w:val="BodyA"/>
        <w:spacing w:line="240" w:lineRule="auto"/>
        <w:ind w:left="720"/>
        <w:jc w:val="both"/>
      </w:pPr>
      <w:r>
        <w:t>(1)  uses or permits another to use any real estate, building, room, tent, vehicle, boat, or other property</w:t>
      </w:r>
      <w:r>
        <w:rPr>
          <w:rStyle w:val="None"/>
          <w:vertAlign w:val="superscript"/>
        </w:rPr>
        <w:footnoteReference w:id="7"/>
      </w:r>
      <w:r>
        <w:t xml:space="preserve"> owned by the person or under the person's control to commit an offense or to facilitate the commission of an offense under Section 20.05, 20.06, 20A.02, 20A.03, 43.04, or 43.05; or</w:t>
      </w:r>
    </w:p>
    <w:p w:rsidR="009A32D7" w:rsidRDefault="00D72E89">
      <w:pPr>
        <w:pStyle w:val="BodyA"/>
        <w:spacing w:line="240" w:lineRule="auto"/>
        <w:ind w:left="720"/>
        <w:jc w:val="both"/>
      </w:pPr>
      <w:r>
        <w:t>(2)  rents or leases any property to another, intending that the property be used as described by Subdivision (1).</w:t>
      </w:r>
    </w:p>
    <w:p w:rsidR="009A32D7" w:rsidRDefault="00D72E89">
      <w:pPr>
        <w:pStyle w:val="BodyA"/>
        <w:spacing w:line="240" w:lineRule="auto"/>
        <w:jc w:val="both"/>
      </w:pPr>
      <w:r>
        <w:t>(b) An offense under this section is a Class A misdemeanor.</w:t>
      </w:r>
    </w:p>
    <w:p w:rsidR="009A32D7" w:rsidRDefault="00D72E89">
      <w:pPr>
        <w:pStyle w:val="BodyA"/>
        <w:spacing w:line="240" w:lineRule="auto"/>
        <w:jc w:val="both"/>
      </w:pPr>
      <w:r>
        <w:t>(c) If conduct that constitutes an offense under this section also constitutes an offense under another law, the actor may be prosecuted under this section, the other law, or both.</w:t>
      </w:r>
    </w:p>
    <w:p w:rsidR="009A32D7" w:rsidRDefault="00D72E89">
      <w:pPr>
        <w:pStyle w:val="BodyA"/>
        <w:spacing w:line="240" w:lineRule="auto"/>
        <w:jc w:val="both"/>
      </w:pPr>
      <w:r>
        <w:t xml:space="preserve">Please note that offenses under this new section are added to forfeiture under Chapter 59 of the Code of Criminal Procedure.  </w:t>
      </w:r>
    </w:p>
    <w:p w:rsidR="009A32D7" w:rsidRDefault="00D72E89">
      <w:pPr>
        <w:pStyle w:val="BodyA"/>
        <w:spacing w:line="240" w:lineRule="auto"/>
        <w:jc w:val="both"/>
      </w:pPr>
      <w:r>
        <w:rPr>
          <w:rStyle w:val="None"/>
          <w:b/>
          <w:bCs/>
          <w:u w:val="single"/>
        </w:rPr>
        <w:t>Important note:</w:t>
      </w:r>
      <w:r>
        <w:rPr>
          <w:rStyle w:val="None"/>
          <w:i/>
          <w:iCs/>
        </w:rPr>
        <w:t xml:space="preserve"> </w:t>
      </w:r>
      <w:r>
        <w:t>The term “stash house” generally refers to drug investigations; this bill does not. Forfeited funds from this new section must be spent on victim services and not on general law enforcement purposes. See CCP Art. 59.06 for additional information.</w:t>
      </w:r>
    </w:p>
    <w:p w:rsidR="009A32D7" w:rsidRDefault="00D72E89">
      <w:pPr>
        <w:pStyle w:val="BodyA"/>
        <w:spacing w:line="240" w:lineRule="auto"/>
        <w:jc w:val="both"/>
      </w:pPr>
      <w:r>
        <w:rPr>
          <w:rStyle w:val="None"/>
          <w:b/>
          <w:bCs/>
        </w:rPr>
        <w:t xml:space="preserve">20A.02, TRAFFICKING OF PERSONS [SB20]: </w:t>
      </w:r>
      <w:r>
        <w:t xml:space="preserve">Now includes the new offenses of §43.031, </w:t>
      </w:r>
      <w:r>
        <w:rPr>
          <w:rStyle w:val="None"/>
          <w:i/>
          <w:iCs/>
        </w:rPr>
        <w:t>Online Promotion of Prostitution</w:t>
      </w:r>
      <w:r>
        <w:t xml:space="preserve">, and §43.041, </w:t>
      </w:r>
      <w:r>
        <w:rPr>
          <w:rStyle w:val="None"/>
          <w:i/>
          <w:iCs/>
        </w:rPr>
        <w:t>Aggravated Online Promotion of Prostitution</w:t>
      </w:r>
      <w:r>
        <w:t>.</w:t>
      </w:r>
      <w:r>
        <w:rPr>
          <w:rStyle w:val="None"/>
          <w:b/>
          <w:bCs/>
        </w:rPr>
        <w:t xml:space="preserve"> </w:t>
      </w:r>
      <w:r>
        <w:t xml:space="preserve">Additionally, Senate Bill 1802 adds </w:t>
      </w:r>
      <w:r>
        <w:rPr>
          <w:rStyle w:val="None"/>
          <w:u w:val="single"/>
        </w:rPr>
        <w:t>causing intoxication without consent</w:t>
      </w:r>
      <w:r>
        <w:t xml:space="preserve"> and </w:t>
      </w:r>
      <w:r>
        <w:rPr>
          <w:rStyle w:val="None"/>
          <w:u w:val="single"/>
        </w:rPr>
        <w:t>withholding alcohol or controlled substance from chemically dependent</w:t>
      </w:r>
      <w:r>
        <w:t xml:space="preserve"> to the definition of “coercion.”</w:t>
      </w:r>
    </w:p>
    <w:p w:rsidR="009A32D7" w:rsidRDefault="00D72E89">
      <w:pPr>
        <w:pStyle w:val="BodyA"/>
        <w:spacing w:line="240" w:lineRule="auto"/>
        <w:jc w:val="both"/>
        <w:rPr>
          <w:rStyle w:val="None"/>
          <w:b/>
          <w:bCs/>
          <w:u w:val="single"/>
        </w:rPr>
      </w:pPr>
      <w:r>
        <w:rPr>
          <w:rStyle w:val="None"/>
          <w:b/>
          <w:bCs/>
        </w:rPr>
        <w:t xml:space="preserve">21.19, UNLAWFUL ELECTRONIC TRANSMISSION OF SEXUALLY EXPLICIT VISUAL MATERIAL. [HB2789]: </w:t>
      </w:r>
      <w:r>
        <w:t>House Bill 2789 creates this new offense, which states:</w:t>
      </w:r>
    </w:p>
    <w:p w:rsidR="009A32D7" w:rsidRDefault="00D72E89">
      <w:pPr>
        <w:pStyle w:val="BodyA"/>
        <w:spacing w:line="240" w:lineRule="auto"/>
        <w:jc w:val="both"/>
      </w:pPr>
      <w:r>
        <w:t>(a) In this section, "intimate parts," "sexual conduct," and "visual material" have the meanings assigned by Section 21.16.</w:t>
      </w:r>
    </w:p>
    <w:p w:rsidR="009A32D7" w:rsidRDefault="00D72E89">
      <w:pPr>
        <w:pStyle w:val="BodyA"/>
        <w:spacing w:line="240" w:lineRule="auto"/>
        <w:jc w:val="both"/>
      </w:pPr>
      <w:r>
        <w:t>(b) A person commits an offense if the person knowingly transmits by electronic means visual material that:</w:t>
      </w:r>
    </w:p>
    <w:p w:rsidR="009A32D7" w:rsidRDefault="00D72E89">
      <w:pPr>
        <w:pStyle w:val="BodyA"/>
        <w:spacing w:line="240" w:lineRule="auto"/>
        <w:ind w:left="720"/>
        <w:jc w:val="both"/>
      </w:pPr>
      <w:r>
        <w:t>(1)  depicts:</w:t>
      </w:r>
    </w:p>
    <w:p w:rsidR="009A32D7" w:rsidRDefault="00D72E89">
      <w:pPr>
        <w:pStyle w:val="BodyA"/>
        <w:spacing w:line="240" w:lineRule="auto"/>
        <w:ind w:left="1440"/>
        <w:jc w:val="both"/>
      </w:pPr>
      <w:r>
        <w:t>(A)  any person engaging in sexual conduct or with the person's intimate parts exposed; or</w:t>
      </w:r>
    </w:p>
    <w:p w:rsidR="009A32D7" w:rsidRDefault="00D72E89">
      <w:pPr>
        <w:pStyle w:val="BodyA"/>
        <w:spacing w:line="240" w:lineRule="auto"/>
        <w:ind w:left="1440"/>
        <w:jc w:val="both"/>
      </w:pPr>
      <w:r>
        <w:t>(B)  covered genitals of a male person that are in a discernibly turgid state; and</w:t>
      </w:r>
    </w:p>
    <w:p w:rsidR="009A32D7" w:rsidRDefault="00D72E89">
      <w:pPr>
        <w:pStyle w:val="BodyA"/>
        <w:spacing w:line="240" w:lineRule="auto"/>
        <w:ind w:left="720"/>
        <w:jc w:val="both"/>
      </w:pPr>
      <w:r>
        <w:t>(2)  is not sent at the request of or with the express consent of the recipient.</w:t>
      </w:r>
    </w:p>
    <w:p w:rsidR="009A32D7" w:rsidRDefault="00D72E89">
      <w:pPr>
        <w:pStyle w:val="BodyA"/>
        <w:spacing w:line="240" w:lineRule="auto"/>
        <w:jc w:val="both"/>
      </w:pPr>
      <w:r>
        <w:t>(c)  An offense under this section is a Class C misdemeanor.</w:t>
      </w:r>
    </w:p>
    <w:p w:rsidR="009A32D7" w:rsidRDefault="00D72E89">
      <w:pPr>
        <w:pStyle w:val="BodyA"/>
        <w:spacing w:line="240" w:lineRule="auto"/>
        <w:jc w:val="both"/>
      </w:pPr>
      <w:r>
        <w:t>(d)  If conduct that constitutes an offense under this section also constitutes an offense under any other law, the actor may be prosecuted under this section or the other law.</w:t>
      </w:r>
    </w:p>
    <w:p w:rsidR="009A32D7" w:rsidRDefault="00D72E89">
      <w:pPr>
        <w:pStyle w:val="BodyA"/>
        <w:spacing w:line="240" w:lineRule="auto"/>
        <w:jc w:val="both"/>
      </w:pPr>
      <w:r>
        <w:t>It’s important to note that this change was made after Texas appellate courts took issue with</w:t>
      </w:r>
      <w:r>
        <w:rPr>
          <w:rStyle w:val="None"/>
          <w:vertAlign w:val="superscript"/>
        </w:rPr>
        <w:footnoteReference w:id="8"/>
      </w:r>
      <w:r>
        <w:t xml:space="preserve"> PC §§21.15, </w:t>
      </w:r>
      <w:r>
        <w:rPr>
          <w:rStyle w:val="None"/>
          <w:i/>
          <w:iCs/>
        </w:rPr>
        <w:t>Invasive Visual Recording</w:t>
      </w:r>
      <w:r>
        <w:t xml:space="preserve">, and 21.16, </w:t>
      </w:r>
      <w:r>
        <w:rPr>
          <w:rStyle w:val="None"/>
          <w:i/>
          <w:iCs/>
        </w:rPr>
        <w:t>Unlawful Disclosure or Promotion of Intimate Visual Material</w:t>
      </w:r>
      <w:r>
        <w:t xml:space="preserve">, but before (as of the writing of this document) the Texas Court of Criminal Appeals has issued a final ruling. TDCAA seems to be particularly concerned about the new §21.19; their </w:t>
      </w:r>
      <w:r>
        <w:rPr>
          <w:rStyle w:val="None"/>
          <w:i/>
          <w:iCs/>
        </w:rPr>
        <w:t>2019-2021 Legislative Update</w:t>
      </w:r>
      <w:r>
        <w:t xml:space="preserve"> book refers to this new statute as “constitutionally suspect” and opines that it’s “…almost certainly destined to be struck down for overbreadth.”</w:t>
      </w:r>
      <w:r>
        <w:rPr>
          <w:rStyle w:val="None"/>
          <w:vertAlign w:val="superscript"/>
        </w:rPr>
        <w:footnoteReference w:id="9"/>
      </w:r>
      <w:r>
        <w:t xml:space="preserve"> </w:t>
      </w:r>
      <w:r>
        <w:rPr>
          <w:rStyle w:val="None"/>
          <w:b/>
          <w:bCs/>
        </w:rPr>
        <w:t>TCOLE has no opinion on this</w:t>
      </w:r>
      <w:r>
        <w:t>, but does believe that officers should contact their local prosecutors for guidance on how to move forward with any investigations involving these statutes.</w:t>
      </w:r>
    </w:p>
    <w:p w:rsidR="009A32D7" w:rsidRDefault="00D72E89">
      <w:pPr>
        <w:pStyle w:val="BodyA"/>
        <w:spacing w:line="240" w:lineRule="auto"/>
        <w:jc w:val="both"/>
      </w:pPr>
      <w:r>
        <w:rPr>
          <w:rStyle w:val="None"/>
          <w:b/>
          <w:bCs/>
        </w:rPr>
        <w:t>22.01, ASSAULT [HB902]:</w:t>
      </w:r>
      <w:r>
        <w:t xml:space="preserve"> House Bill 902 amends this statute by enhancing assault with bodily injury to a F/3 if it is committed against a person the actor knows is pregnant at the time of the offense. A previous enhancement for assaulting a pregnant woman to induce an abortion remains in the law, but this offense is the same level and much easier to prosecute. This will be significant in many family violence investigations.</w:t>
      </w:r>
    </w:p>
    <w:p w:rsidR="009A32D7" w:rsidRDefault="00D72E89">
      <w:pPr>
        <w:pStyle w:val="BodyA"/>
        <w:spacing w:line="240" w:lineRule="auto"/>
        <w:jc w:val="both"/>
      </w:pPr>
      <w:r>
        <w:rPr>
          <w:rStyle w:val="None"/>
          <w:b/>
          <w:bCs/>
        </w:rPr>
        <w:t>22.011, SEXUAL ASSAULT [HB667]:</w:t>
      </w:r>
      <w:r>
        <w:t xml:space="preserve"> House Bill 667, “Melissa's Law,” amends the Penal Code to enhance the penalty for sexual assault from a F/2 to a F/1 if the victim was a person with whom the actor was prohibited from engaging in sexual intercourse or deviate sexual intercourse under state law establishing the offense of prohibited sexual conduct. The bill establishes as an affirmative defense to prosecution for sexual assault against a person of 14 years of age or older but younger than 17 years of age that the victim was not a person with whom the actor was prohibited from engaging in sexual intercourse or deviate sexual intercourse under that state law and the actor met certain conditions. Previous enhancements were available if the state could prove Bigamy; this change works and will be simple to prove.</w:t>
      </w:r>
    </w:p>
    <w:p w:rsidR="009A32D7" w:rsidRDefault="00D72E89">
      <w:pPr>
        <w:pStyle w:val="BodyA"/>
        <w:spacing w:line="240" w:lineRule="auto"/>
        <w:jc w:val="both"/>
      </w:pPr>
      <w:r>
        <w:rPr>
          <w:rStyle w:val="None"/>
          <w:b/>
          <w:bCs/>
          <w:u w:val="single"/>
        </w:rPr>
        <w:t>22.012, INDECENT ASSAULT [SB194]:</w:t>
      </w:r>
      <w:r>
        <w:t xml:space="preserve"> In addition to creating an entirely new offense, Senate Bill 194 adds said new offense to protective order statutes / court order violations. TDCAA’s </w:t>
      </w:r>
      <w:r>
        <w:rPr>
          <w:rStyle w:val="None"/>
          <w:i/>
          <w:iCs/>
        </w:rPr>
        <w:t xml:space="preserve">2019-2021 Legislative Update </w:t>
      </w:r>
      <w:r>
        <w:t>describes this new offense as “…an adult equivalent to §22.11(a)(1) (Indecency with a Child by Contact)—and then some.”</w:t>
      </w:r>
      <w:r>
        <w:rPr>
          <w:rStyle w:val="None"/>
          <w:vertAlign w:val="superscript"/>
        </w:rPr>
        <w:footnoteReference w:id="10"/>
      </w:r>
      <w:r>
        <w:t xml:space="preserve"> Among other things, this new offense now gives officers an option to file something other than a M/C </w:t>
      </w:r>
      <w:r>
        <w:rPr>
          <w:rStyle w:val="None"/>
          <w:i/>
          <w:iCs/>
        </w:rPr>
        <w:t>Assault by Contact</w:t>
      </w:r>
      <w:r>
        <w:t xml:space="preserve"> charge for, e.g., unwanted sexual groping. TDCAA’s write-up on this statute includes a paragraph stating that this new offense can most likely be filed even if the unwanted touching is through clothing.</w:t>
      </w:r>
      <w:r>
        <w:rPr>
          <w:rStyle w:val="None"/>
          <w:vertAlign w:val="superscript"/>
        </w:rPr>
        <w:footnoteReference w:id="11"/>
      </w:r>
      <w:r>
        <w:t xml:space="preserve"> </w:t>
      </w:r>
    </w:p>
    <w:p w:rsidR="009A32D7" w:rsidRDefault="00D72E89">
      <w:pPr>
        <w:pStyle w:val="BodyA"/>
        <w:spacing w:line="240" w:lineRule="auto"/>
        <w:jc w:val="both"/>
      </w:pPr>
      <w:r>
        <w:t>The text of the new law reads as follows:</w:t>
      </w:r>
    </w:p>
    <w:p w:rsidR="009A32D7" w:rsidRDefault="00D72E89">
      <w:pPr>
        <w:pStyle w:val="BodyA"/>
        <w:spacing w:line="240" w:lineRule="auto"/>
        <w:jc w:val="both"/>
      </w:pPr>
      <w:r>
        <w:t>(a) A person commits an offense if, without the other person's consent and with the intent to arouse or gratify the sexual desire of any person, the person:</w:t>
      </w:r>
    </w:p>
    <w:p w:rsidR="009A32D7" w:rsidRDefault="00D72E89">
      <w:pPr>
        <w:pStyle w:val="BodyA"/>
        <w:spacing w:line="240" w:lineRule="auto"/>
        <w:ind w:left="720"/>
        <w:jc w:val="both"/>
      </w:pPr>
      <w:r>
        <w:t>(1)  touches the anus, breast, or any part of the genitals of another person;</w:t>
      </w:r>
    </w:p>
    <w:p w:rsidR="009A32D7" w:rsidRDefault="00D72E89">
      <w:pPr>
        <w:pStyle w:val="BodyA"/>
        <w:spacing w:line="240" w:lineRule="auto"/>
        <w:ind w:left="720"/>
        <w:jc w:val="both"/>
      </w:pPr>
      <w:r>
        <w:t>(2)  touches another person with the anus, breast, or any part of the genitals of any person;</w:t>
      </w:r>
    </w:p>
    <w:p w:rsidR="009A32D7" w:rsidRDefault="00D72E89">
      <w:pPr>
        <w:pStyle w:val="BodyA"/>
        <w:spacing w:line="240" w:lineRule="auto"/>
        <w:ind w:left="720"/>
        <w:jc w:val="both"/>
      </w:pPr>
      <w:r>
        <w:t>(3)  exposes or attempts to expose another person's genitals, pubic area, anus, buttocks, or female areola; or</w:t>
      </w:r>
    </w:p>
    <w:p w:rsidR="009A32D7" w:rsidRDefault="00D72E89">
      <w:pPr>
        <w:pStyle w:val="BodyA"/>
        <w:spacing w:line="240" w:lineRule="auto"/>
        <w:ind w:left="720"/>
        <w:jc w:val="both"/>
      </w:pPr>
      <w:r>
        <w:t>(4)  causes another person to contact the blood, seminal fluid, vaginal fluid, saliva, urine, or feces of any person.</w:t>
      </w:r>
    </w:p>
    <w:p w:rsidR="009A32D7" w:rsidRDefault="00D72E89">
      <w:pPr>
        <w:pStyle w:val="BodyA"/>
        <w:spacing w:line="240" w:lineRule="auto"/>
        <w:jc w:val="both"/>
      </w:pPr>
      <w:r>
        <w:t xml:space="preserve">(b)  An offense under this section is a Class A misdemeanor. </w:t>
      </w:r>
    </w:p>
    <w:p w:rsidR="009A32D7" w:rsidRDefault="00D72E89">
      <w:pPr>
        <w:pStyle w:val="BodyA"/>
        <w:spacing w:line="240" w:lineRule="auto"/>
        <w:jc w:val="both"/>
      </w:pPr>
      <w:r>
        <w:t>(c)  If conduct that constitutes an offense under this section also constitutes an offense under another law, the actor may be prosecuted under this section, the other law, or both.</w:t>
      </w:r>
    </w:p>
    <w:p w:rsidR="009A32D7" w:rsidRDefault="00D72E89">
      <w:pPr>
        <w:pStyle w:val="BodyA"/>
        <w:spacing w:line="240" w:lineRule="auto"/>
        <w:jc w:val="both"/>
        <w:rPr>
          <w:rStyle w:val="None"/>
          <w:u w:val="single"/>
        </w:rPr>
      </w:pPr>
      <w:r>
        <w:rPr>
          <w:rStyle w:val="None"/>
          <w:b/>
          <w:bCs/>
        </w:rPr>
        <w:t>25.07, VIOLATION OF CERTAIN COURT ORDERS OR CONDITIONS OF BOND IN A FAMILY VIOLENCE, CHILD ABUSE OR NEGLECT, SEXUAL ASSAULT OR ABUSE, STALKING OR TRAFFICKING CASE [HB1343]:</w:t>
      </w:r>
      <w:r>
        <w:t xml:space="preserve"> House Bill 1343 amends subsection 25.07(g) by, among other things, adding that this offense is a SJF if it is shown at the trial of the offense that the defendant violated an order issued as a result of an application filed under CCP Article 7A.01(a-1), </w:t>
      </w:r>
      <w:r>
        <w:rPr>
          <w:rStyle w:val="None"/>
          <w:i/>
          <w:iCs/>
        </w:rPr>
        <w:t>Application for Protective Order</w:t>
      </w:r>
      <w:r>
        <w:t>.</w:t>
      </w:r>
    </w:p>
    <w:p w:rsidR="009A32D7" w:rsidRDefault="00D72E89">
      <w:pPr>
        <w:pStyle w:val="BodyA"/>
        <w:spacing w:line="240" w:lineRule="auto"/>
        <w:jc w:val="both"/>
      </w:pPr>
      <w:r>
        <w:rPr>
          <w:rStyle w:val="None"/>
          <w:b/>
          <w:bCs/>
        </w:rPr>
        <w:t>25.11, CONTINUOUS VIOLENCE AGAINST THE FAMILY [HB1661]:</w:t>
      </w:r>
      <w:r>
        <w:t xml:space="preserve"> House Bill 1661, “Rachel’s Law,” amends this section to add that if the jury is the trier of fact, they are not required to agree unanimously on the county in which each instance of the conduct occurred.</w:t>
      </w:r>
    </w:p>
    <w:p w:rsidR="009A32D7" w:rsidRDefault="00D72E89">
      <w:pPr>
        <w:pStyle w:val="BodyA"/>
        <w:spacing w:line="240" w:lineRule="auto"/>
        <w:jc w:val="both"/>
      </w:pPr>
      <w:r>
        <w:rPr>
          <w:rStyle w:val="None"/>
          <w:b/>
          <w:bCs/>
        </w:rPr>
        <w:t>30.05, CRIMINAL TRESPASS;</w:t>
      </w:r>
      <w:r>
        <w:t xml:space="preserve"> </w:t>
      </w:r>
      <w:r>
        <w:rPr>
          <w:rStyle w:val="None"/>
          <w:b/>
          <w:bCs/>
        </w:rPr>
        <w:t xml:space="preserve">30.06, TRESPASS BY LICENSE HOLDER WITH A CONCEALED HANDGUN; and 30.07, TRESPASS BY LICENSE HOLDER WITH AN OPENLY CARRIED HANDGUN [HB302]: </w:t>
      </w:r>
      <w:r>
        <w:t xml:space="preserve">House Bill 302 amends these Penal Code statutes to add a defense to prosecution for residents and tenants. It is a defense to these sections that the basis on which entry on the property was forbidden is that entry with a firearm or firearm ammunition was prohibited. </w:t>
      </w:r>
    </w:p>
    <w:p w:rsidR="009A32D7" w:rsidRDefault="00D72E89">
      <w:pPr>
        <w:pStyle w:val="BodyA"/>
        <w:spacing w:line="240" w:lineRule="auto"/>
        <w:jc w:val="both"/>
      </w:pPr>
      <w:r>
        <w:t xml:space="preserve">This defense applies to the actual renter or owner of a rental unit in a complex or condominium regime, or their guest. It further applies in the actual rental unit, to or from the unit, to or from the actor’s vehicle, and when the firearm or firearm ammunition is stored in the actor’s vehicle on the property. This defense </w:t>
      </w:r>
      <w:r>
        <w:rPr>
          <w:rStyle w:val="None"/>
          <w:u w:val="single"/>
        </w:rPr>
        <w:t>doesn’t</w:t>
      </w:r>
      <w:r>
        <w:t xml:space="preserve"> apply if the actor is otherwise prohibited by law from possessing a firearm or firearm ammunition. </w:t>
      </w:r>
    </w:p>
    <w:p w:rsidR="009A32D7" w:rsidRDefault="00D72E89">
      <w:pPr>
        <w:pStyle w:val="BodyA"/>
        <w:spacing w:line="240" w:lineRule="auto"/>
        <w:jc w:val="both"/>
      </w:pPr>
      <w:r>
        <w:rPr>
          <w:rStyle w:val="None"/>
          <w:b/>
          <w:bCs/>
        </w:rPr>
        <w:t>30.06, TRESPASS BY LICENSE HOLDER WITH A CONCEALED HANDGUN, and  30.07, TRESPASS BY LICENSE HOLDER WITH AN OPENLY CARRIED HANDGUN [HB121]:</w:t>
      </w:r>
      <w:r>
        <w:t xml:space="preserve"> House Bill 121 amends both statutes by creating a defense to prosecution that the license holder was </w:t>
      </w:r>
      <w:r>
        <w:rPr>
          <w:rStyle w:val="None"/>
          <w:u w:val="single"/>
        </w:rPr>
        <w:t>personally</w:t>
      </w:r>
      <w:r>
        <w:t xml:space="preserve"> given notice by </w:t>
      </w:r>
      <w:r>
        <w:rPr>
          <w:rStyle w:val="None"/>
          <w:u w:val="single"/>
        </w:rPr>
        <w:t>oral communication</w:t>
      </w:r>
      <w:r>
        <w:t xml:space="preserve"> from the owner or owner’s agent and “promptly” departed from the property. For practical purposes, the §§30.06 and 30.07 signage will no longer work unless the LTC-holder is verbally warned to leave and then fails to do so.</w:t>
      </w:r>
      <w:r>
        <w:rPr>
          <w:rStyle w:val="None"/>
          <w:i/>
          <w:iCs/>
        </w:rPr>
        <w:t xml:space="preserve"> </w:t>
      </w:r>
    </w:p>
    <w:p w:rsidR="009A32D7" w:rsidRDefault="00D72E89">
      <w:pPr>
        <w:pStyle w:val="BodyA"/>
        <w:spacing w:line="240" w:lineRule="auto"/>
        <w:jc w:val="both"/>
        <w:rPr>
          <w:rStyle w:val="None"/>
          <w:b/>
          <w:bCs/>
        </w:rPr>
      </w:pPr>
      <w:r>
        <w:rPr>
          <w:rStyle w:val="None"/>
          <w:b/>
          <w:bCs/>
        </w:rPr>
        <w:t xml:space="preserve">31.04, THEFT OF SERVICE [HB2524]: </w:t>
      </w:r>
      <w:r>
        <w:t>House Bill 2524 amends the statute with regards to the intent to avoid payment for service or rental agreement under subsection (b) within three days after receiving notice if the value is ≥$2,500 but &lt;$10,000; and under subsection (c) if the value is ≥$10,000.  Notices are now to include email, text message, commercial delivery service, certified mail and in writing and is considered delivered when sent via email or text. Rent to own cases now became much more difficult to prove, but rental car and rental equipment cases (usually having a value over $10.000 became a bit easier.</w:t>
      </w:r>
    </w:p>
    <w:p w:rsidR="009A32D7" w:rsidRDefault="00D72E89">
      <w:pPr>
        <w:pStyle w:val="BodyA"/>
        <w:spacing w:line="240" w:lineRule="auto"/>
        <w:jc w:val="both"/>
      </w:pPr>
      <w:r>
        <w:rPr>
          <w:rStyle w:val="None"/>
          <w:b/>
          <w:bCs/>
        </w:rPr>
        <w:t>31.20, MAIL THEFT [HB37]:</w:t>
      </w:r>
      <w:r>
        <w:t xml:space="preserve"> House Bill 37 creates an offense of theft of mail, but also creates the new “porch pirate” offense</w:t>
      </w:r>
      <w:r>
        <w:rPr>
          <w:rStyle w:val="None"/>
          <w:vertAlign w:val="superscript"/>
        </w:rPr>
        <w:footnoteReference w:id="12"/>
      </w:r>
      <w:r>
        <w:t xml:space="preserve"> of </w:t>
      </w:r>
      <w:r>
        <w:rPr>
          <w:rStyle w:val="None"/>
          <w:i/>
          <w:iCs/>
        </w:rPr>
        <w:t>Mail Theft</w:t>
      </w:r>
      <w:r>
        <w:t>. “Mail” is defined as a letter, postal card, package, bag or other sealed article, that:</w:t>
      </w:r>
    </w:p>
    <w:p w:rsidR="009A32D7" w:rsidRDefault="00D72E89">
      <w:pPr>
        <w:pStyle w:val="BodyA"/>
        <w:numPr>
          <w:ilvl w:val="0"/>
          <w:numId w:val="31"/>
        </w:numPr>
        <w:spacing w:line="240" w:lineRule="auto"/>
        <w:jc w:val="both"/>
      </w:pPr>
      <w:r>
        <w:t>is delivered by a common carrier or delivery service</w:t>
      </w:r>
      <w:r>
        <w:rPr>
          <w:rStyle w:val="None"/>
          <w:vertAlign w:val="superscript"/>
        </w:rPr>
        <w:footnoteReference w:id="13"/>
      </w:r>
      <w:r>
        <w:t xml:space="preserve"> and not yet received by the addressee; or</w:t>
      </w:r>
    </w:p>
    <w:p w:rsidR="009A32D7" w:rsidRDefault="00D72E89">
      <w:pPr>
        <w:pStyle w:val="BodyA"/>
        <w:numPr>
          <w:ilvl w:val="0"/>
          <w:numId w:val="31"/>
        </w:numPr>
        <w:spacing w:line="240" w:lineRule="auto"/>
        <w:jc w:val="both"/>
      </w:pPr>
      <w:r>
        <w:t>has been left to be collected for delivery by a common carrier or delivery service.</w:t>
      </w:r>
    </w:p>
    <w:p w:rsidR="00FB6E20" w:rsidRDefault="00D72E89">
      <w:pPr>
        <w:pStyle w:val="BodyA"/>
        <w:spacing w:line="240" w:lineRule="auto"/>
        <w:jc w:val="both"/>
      </w:pPr>
      <w:r>
        <w:t xml:space="preserve">A person commits an offense if he intentionally appropriates another person’s mail without effective consent and with the intent to deprive him of the mail. The level of offense starts at a M/A and increases based upon the number of </w:t>
      </w:r>
      <w:r>
        <w:rPr>
          <w:rStyle w:val="None"/>
          <w:u w:val="single"/>
        </w:rPr>
        <w:t>addressees</w:t>
      </w:r>
      <w:r>
        <w:t xml:space="preserve"> who have mail stolen:</w:t>
      </w:r>
    </w:p>
    <w:p w:rsidR="00FB6E20" w:rsidRDefault="00FB6E20">
      <w:pPr>
        <w:rPr>
          <w:rFonts w:ascii="Arial" w:hAnsi="Arial" w:cs="Arial Unicode MS"/>
          <w:color w:val="000000"/>
          <w:u w:color="000000"/>
          <w14:textOutline w14:w="12700" w14:cap="flat" w14:cmpd="sng" w14:algn="ctr">
            <w14:noFill/>
            <w14:prstDash w14:val="solid"/>
            <w14:miter w14:lim="400000"/>
          </w14:textOutline>
        </w:rPr>
      </w:pPr>
      <w:r>
        <w:br w:type="page"/>
      </w:r>
    </w:p>
    <w:p w:rsidR="009A32D7" w:rsidRDefault="00D72E89">
      <w:pPr>
        <w:pStyle w:val="BodyA"/>
        <w:numPr>
          <w:ilvl w:val="0"/>
          <w:numId w:val="33"/>
        </w:numPr>
        <w:spacing w:line="240" w:lineRule="auto"/>
        <w:jc w:val="both"/>
      </w:pPr>
      <w:r>
        <w:t>&lt;10: M/A</w:t>
      </w:r>
    </w:p>
    <w:p w:rsidR="009A32D7" w:rsidRDefault="00D72E89">
      <w:pPr>
        <w:pStyle w:val="BodyA"/>
        <w:numPr>
          <w:ilvl w:val="0"/>
          <w:numId w:val="33"/>
        </w:numPr>
        <w:spacing w:line="240" w:lineRule="auto"/>
        <w:jc w:val="both"/>
      </w:pPr>
      <w:r>
        <w:t>≥10 but &lt;30: SJF</w:t>
      </w:r>
    </w:p>
    <w:p w:rsidR="009A32D7" w:rsidRDefault="00D72E89">
      <w:pPr>
        <w:pStyle w:val="BodyA"/>
        <w:numPr>
          <w:ilvl w:val="0"/>
          <w:numId w:val="33"/>
        </w:numPr>
        <w:spacing w:line="240" w:lineRule="auto"/>
        <w:jc w:val="both"/>
      </w:pPr>
      <w:r>
        <w:t>≥30: F/3</w:t>
      </w:r>
    </w:p>
    <w:p w:rsidR="009A32D7" w:rsidRDefault="00D72E89">
      <w:pPr>
        <w:pStyle w:val="BodyA"/>
        <w:spacing w:line="240" w:lineRule="auto"/>
        <w:jc w:val="both"/>
      </w:pPr>
      <w:r>
        <w:t xml:space="preserve">If shown that the mail was taken to facilitate PC §32.51, </w:t>
      </w:r>
      <w:r>
        <w:rPr>
          <w:rStyle w:val="None"/>
          <w:i/>
          <w:iCs/>
        </w:rPr>
        <w:t>Fraudulent Use or Possession of Identifying Information</w:t>
      </w:r>
      <w:r>
        <w:t>, the punishments are:</w:t>
      </w:r>
    </w:p>
    <w:p w:rsidR="009A32D7" w:rsidRDefault="00D72E89">
      <w:pPr>
        <w:pStyle w:val="BodyA"/>
        <w:numPr>
          <w:ilvl w:val="0"/>
          <w:numId w:val="35"/>
        </w:numPr>
        <w:spacing w:line="240" w:lineRule="auto"/>
        <w:jc w:val="both"/>
      </w:pPr>
      <w:r>
        <w:t>&lt;10: SJF</w:t>
      </w:r>
    </w:p>
    <w:p w:rsidR="009A32D7" w:rsidRDefault="00D72E89">
      <w:pPr>
        <w:pStyle w:val="BodyA"/>
        <w:numPr>
          <w:ilvl w:val="0"/>
          <w:numId w:val="35"/>
        </w:numPr>
        <w:spacing w:line="240" w:lineRule="auto"/>
        <w:jc w:val="both"/>
      </w:pPr>
      <w:r>
        <w:t>≥10 but &lt;30: F/3</w:t>
      </w:r>
    </w:p>
    <w:p w:rsidR="009A32D7" w:rsidRDefault="00D72E89">
      <w:pPr>
        <w:pStyle w:val="BodyA"/>
        <w:numPr>
          <w:ilvl w:val="0"/>
          <w:numId w:val="35"/>
        </w:numPr>
        <w:spacing w:line="240" w:lineRule="auto"/>
        <w:jc w:val="both"/>
      </w:pPr>
      <w:r>
        <w:t>≥30 but &lt;50: F/2</w:t>
      </w:r>
    </w:p>
    <w:p w:rsidR="009A32D7" w:rsidRDefault="00D72E89">
      <w:pPr>
        <w:pStyle w:val="BodyA"/>
        <w:numPr>
          <w:ilvl w:val="0"/>
          <w:numId w:val="35"/>
        </w:numPr>
        <w:spacing w:line="240" w:lineRule="auto"/>
        <w:jc w:val="both"/>
      </w:pPr>
      <w:r>
        <w:t>≥50: F/1</w:t>
      </w:r>
    </w:p>
    <w:p w:rsidR="009A32D7" w:rsidRDefault="00D72E89">
      <w:pPr>
        <w:pStyle w:val="BodyA"/>
        <w:spacing w:line="240" w:lineRule="auto"/>
        <w:jc w:val="both"/>
      </w:pPr>
      <w:r>
        <w:t xml:space="preserve">These punishments are enhanced </w:t>
      </w:r>
      <w:r>
        <w:rPr>
          <w:rStyle w:val="None"/>
          <w:u w:val="single"/>
        </w:rPr>
        <w:t>one degree</w:t>
      </w:r>
      <w:r>
        <w:t xml:space="preserve"> if the actor knew, or had reason to believe, the victim was disabled or elderly.</w:t>
      </w:r>
    </w:p>
    <w:p w:rsidR="009A32D7" w:rsidRDefault="00D72E89">
      <w:pPr>
        <w:pStyle w:val="BodyA"/>
        <w:spacing w:line="240" w:lineRule="auto"/>
        <w:jc w:val="both"/>
      </w:pPr>
      <w:r>
        <w:rPr>
          <w:rStyle w:val="None"/>
          <w:b/>
          <w:bCs/>
        </w:rPr>
        <w:t xml:space="preserve">32.315, FRAUDULENT USE OR POSSESSION OF CREDIT CARD OR DEBIT CARD INFORMATION [HB2625]: </w:t>
      </w:r>
      <w:r>
        <w:t>House Bill 2625 modernizes the law to the actual use of credit cards and credit card information by creating this new offense, which states:</w:t>
      </w:r>
    </w:p>
    <w:p w:rsidR="009A32D7" w:rsidRDefault="00D72E89">
      <w:pPr>
        <w:pStyle w:val="BodyA"/>
        <w:spacing w:line="240" w:lineRule="auto"/>
        <w:jc w:val="both"/>
      </w:pPr>
      <w:r>
        <w:t>(a) In this section:</w:t>
      </w:r>
    </w:p>
    <w:p w:rsidR="009A32D7" w:rsidRDefault="00D72E89">
      <w:pPr>
        <w:pStyle w:val="BodyA"/>
        <w:spacing w:line="240" w:lineRule="auto"/>
        <w:ind w:left="720"/>
        <w:jc w:val="both"/>
      </w:pPr>
      <w:r>
        <w:t>(1)  "Counterfeit credit card or debit card" means a:</w:t>
      </w:r>
    </w:p>
    <w:p w:rsidR="009A32D7" w:rsidRDefault="00D72E89">
      <w:pPr>
        <w:pStyle w:val="BodyA"/>
        <w:spacing w:line="240" w:lineRule="auto"/>
        <w:ind w:left="1440"/>
        <w:jc w:val="both"/>
      </w:pPr>
      <w:r>
        <w:t>(A)  credit card or debit card that:</w:t>
      </w:r>
    </w:p>
    <w:p w:rsidR="009A32D7" w:rsidRDefault="00D72E89">
      <w:pPr>
        <w:pStyle w:val="BodyA"/>
        <w:spacing w:line="240" w:lineRule="auto"/>
        <w:ind w:left="2160"/>
        <w:jc w:val="both"/>
      </w:pPr>
      <w:r>
        <w:t>(</w:t>
      </w:r>
      <w:proofErr w:type="spellStart"/>
      <w:r>
        <w:t>i</w:t>
      </w:r>
      <w:proofErr w:type="spellEnd"/>
      <w:r>
        <w:t>)  purports on its face to have been issued by an issuer that did not issue the card;</w:t>
      </w:r>
    </w:p>
    <w:p w:rsidR="009A32D7" w:rsidRDefault="00D72E89">
      <w:pPr>
        <w:pStyle w:val="BodyA"/>
        <w:spacing w:line="240" w:lineRule="auto"/>
        <w:ind w:left="2160"/>
        <w:jc w:val="both"/>
      </w:pPr>
      <w:r>
        <w:t>(ii)  has been altered to contain a digital imprint other than that which was placed on the card by the issuer;</w:t>
      </w:r>
    </w:p>
    <w:p w:rsidR="009A32D7" w:rsidRDefault="00D72E89">
      <w:pPr>
        <w:pStyle w:val="BodyA"/>
        <w:spacing w:line="240" w:lineRule="auto"/>
        <w:ind w:left="2160"/>
        <w:jc w:val="both"/>
      </w:pPr>
      <w:r>
        <w:t>(iii)  contains a digital imprint with account information or account holder information differing from that which is printed or embossed on the card; or</w:t>
      </w:r>
    </w:p>
    <w:p w:rsidR="009A32D7" w:rsidRDefault="00D72E89">
      <w:pPr>
        <w:pStyle w:val="BodyA"/>
        <w:spacing w:line="240" w:lineRule="auto"/>
        <w:ind w:left="2160"/>
        <w:jc w:val="both"/>
      </w:pPr>
      <w:r>
        <w:t>(iv)  has been altered to change the account information or account holder information on the face of the card from that which was printed or embossed on the card by the issuer; or</w:t>
      </w:r>
    </w:p>
    <w:p w:rsidR="009A32D7" w:rsidRDefault="00D72E89">
      <w:pPr>
        <w:pStyle w:val="BodyA"/>
        <w:spacing w:line="240" w:lineRule="auto"/>
        <w:ind w:left="1440"/>
        <w:jc w:val="both"/>
      </w:pPr>
      <w:r>
        <w:t>(B)  card, other than one issued as a credit card or debit card, that has been altered to contain the digital imprint of a credit card or debit card.</w:t>
      </w:r>
    </w:p>
    <w:p w:rsidR="009A32D7" w:rsidRDefault="00D72E89">
      <w:pPr>
        <w:pStyle w:val="BodyA"/>
        <w:spacing w:line="240" w:lineRule="auto"/>
        <w:ind w:left="720"/>
        <w:jc w:val="both"/>
      </w:pPr>
      <w:r>
        <w:t>(2)  "Credit card" and "debit card" have the meanings assigned by Section 32.31.</w:t>
      </w:r>
    </w:p>
    <w:p w:rsidR="009A32D7" w:rsidRDefault="00D72E89">
      <w:pPr>
        <w:pStyle w:val="BodyA"/>
        <w:spacing w:line="240" w:lineRule="auto"/>
        <w:ind w:left="720"/>
        <w:jc w:val="both"/>
      </w:pPr>
      <w:r>
        <w:t>(3)  "Digital imprint" means the digital data placed on a credit card or debit card or on a counterfeit credit card or debit card.</w:t>
      </w:r>
    </w:p>
    <w:p w:rsidR="009A32D7" w:rsidRDefault="00D72E89">
      <w:pPr>
        <w:pStyle w:val="BodyA"/>
        <w:spacing w:line="240" w:lineRule="auto"/>
        <w:jc w:val="both"/>
      </w:pPr>
      <w:r>
        <w:t>(b)  A person commits an offense if the person, with the intent to harm or defraud another, obtains, possesses, transfers, or uses:</w:t>
      </w:r>
    </w:p>
    <w:p w:rsidR="009A32D7" w:rsidRDefault="00D72E89">
      <w:pPr>
        <w:pStyle w:val="BodyA"/>
        <w:spacing w:line="240" w:lineRule="auto"/>
        <w:ind w:left="720"/>
        <w:jc w:val="both"/>
      </w:pPr>
      <w:r>
        <w:t>(1)  a counterfeit credit card or debit card;</w:t>
      </w:r>
    </w:p>
    <w:p w:rsidR="009A32D7" w:rsidRDefault="00D72E89">
      <w:pPr>
        <w:pStyle w:val="BodyA"/>
        <w:spacing w:line="240" w:lineRule="auto"/>
        <w:ind w:left="720"/>
        <w:jc w:val="both"/>
      </w:pPr>
      <w:r>
        <w:t>(2)  the number and expiration date of a credit card or debit card without the consent of the account holder; or</w:t>
      </w:r>
    </w:p>
    <w:p w:rsidR="009A32D7" w:rsidRDefault="00D72E89">
      <w:pPr>
        <w:pStyle w:val="BodyA"/>
        <w:spacing w:line="240" w:lineRule="auto"/>
        <w:ind w:left="720"/>
        <w:jc w:val="both"/>
      </w:pPr>
      <w:r>
        <w:t>(3)  the data stored on the digital imprint of a credit card or debit card without the consent of the account holder.</w:t>
      </w:r>
    </w:p>
    <w:p w:rsidR="009A32D7" w:rsidRDefault="00D72E89">
      <w:pPr>
        <w:pStyle w:val="BodyA"/>
        <w:spacing w:line="240" w:lineRule="auto"/>
        <w:jc w:val="both"/>
      </w:pPr>
      <w:r>
        <w:t>(c)  If an actor possessed five or more of an item described by Subsection (b)(2) or (3), a rebuttable presumption exists that the actor possessed each item without the consent of the account holder.</w:t>
      </w:r>
    </w:p>
    <w:p w:rsidR="009A32D7" w:rsidRDefault="00D72E89">
      <w:pPr>
        <w:pStyle w:val="BodyA"/>
        <w:spacing w:line="240" w:lineRule="auto"/>
        <w:jc w:val="both"/>
      </w:pPr>
      <w:r>
        <w:t>(d)  The presumption established under Subsection (c) does not apply to a business or other commercial entity or a government agency that is engaged in a business activity or governmental function that does not violate a penal law of this state.</w:t>
      </w:r>
    </w:p>
    <w:p w:rsidR="009A32D7" w:rsidRDefault="00D72E89">
      <w:pPr>
        <w:pStyle w:val="BodyA"/>
        <w:spacing w:line="240" w:lineRule="auto"/>
        <w:jc w:val="both"/>
      </w:pPr>
      <w:r>
        <w:t>(e)  An offense under this section is:</w:t>
      </w:r>
    </w:p>
    <w:p w:rsidR="009A32D7" w:rsidRDefault="00D72E89">
      <w:pPr>
        <w:pStyle w:val="BodyA"/>
        <w:spacing w:line="240" w:lineRule="auto"/>
        <w:ind w:left="720"/>
        <w:jc w:val="both"/>
      </w:pPr>
      <w:r>
        <w:t>(1)  a state jail felony if the number of items obtained, possessed, transferred, or used is less than five;</w:t>
      </w:r>
    </w:p>
    <w:p w:rsidR="009A32D7" w:rsidRDefault="00D72E89">
      <w:pPr>
        <w:pStyle w:val="BodyA"/>
        <w:spacing w:line="240" w:lineRule="auto"/>
        <w:ind w:left="720"/>
        <w:jc w:val="both"/>
      </w:pPr>
      <w:r>
        <w:t>(2)  a felony of the third degree if the number of items obtained, possessed, transferred, or used is five or more but less than 10;</w:t>
      </w:r>
    </w:p>
    <w:p w:rsidR="009A32D7" w:rsidRDefault="00D72E89">
      <w:pPr>
        <w:pStyle w:val="BodyA"/>
        <w:spacing w:line="240" w:lineRule="auto"/>
        <w:ind w:left="720"/>
        <w:jc w:val="both"/>
      </w:pPr>
      <w:r>
        <w:t>(3)  a felony of the second degree if the number of items obtained, possessed, transferred, or used is 10 or more but less than 50; or</w:t>
      </w:r>
    </w:p>
    <w:p w:rsidR="009A32D7" w:rsidRDefault="00D72E89">
      <w:pPr>
        <w:pStyle w:val="BodyA"/>
        <w:spacing w:line="240" w:lineRule="auto"/>
        <w:ind w:left="720"/>
        <w:jc w:val="both"/>
      </w:pPr>
      <w:r>
        <w:t>(4)  a felony of the first degree if the number of items obtained, possessed, transferred, or used is 50 or more.</w:t>
      </w:r>
    </w:p>
    <w:p w:rsidR="009A32D7" w:rsidRDefault="00D72E89">
      <w:pPr>
        <w:pStyle w:val="BodyA"/>
        <w:spacing w:line="240" w:lineRule="auto"/>
        <w:jc w:val="both"/>
      </w:pPr>
      <w:r>
        <w:t>(f)  If a court orders a defendant convicted of an offense under this section to make restitution to a victim of the offense, the court may order the defendant to reimburse the victim for lost income or other expenses, other than attorney's fees, incurred as a result of the offense.</w:t>
      </w:r>
    </w:p>
    <w:p w:rsidR="009A32D7" w:rsidRDefault="00D72E89">
      <w:pPr>
        <w:pStyle w:val="BodyA"/>
        <w:spacing w:line="240" w:lineRule="auto"/>
        <w:jc w:val="both"/>
      </w:pPr>
      <w:r>
        <w:t>(g)  If conduct that constitutes an offense under this section also constitutes an offense under any other law, the actor may be prosecuted under this section, the other law, or both.</w:t>
      </w:r>
    </w:p>
    <w:p w:rsidR="009A32D7" w:rsidRDefault="00D72E89">
      <w:pPr>
        <w:pStyle w:val="BodyA"/>
        <w:spacing w:line="240" w:lineRule="auto"/>
        <w:jc w:val="both"/>
      </w:pPr>
      <w:r>
        <w:rPr>
          <w:rStyle w:val="None"/>
          <w:b/>
          <w:bCs/>
        </w:rPr>
        <w:t>32.47, FRAUDULENT DESTRUCTION, REMOVAL, OR CONCEALMENT OF WRITING [HB427]:</w:t>
      </w:r>
      <w:r>
        <w:t xml:space="preserve"> House Bill 427 amends this pre-existing section by changing the following with respect to the way the offense is committed:</w:t>
      </w:r>
    </w:p>
    <w:p w:rsidR="009A32D7" w:rsidRDefault="00D72E89">
      <w:pPr>
        <w:pStyle w:val="BodyA"/>
        <w:spacing w:line="240" w:lineRule="auto"/>
        <w:jc w:val="both"/>
      </w:pPr>
      <w:r>
        <w:t>(c)  Except as provided by Subsection (d), an offense under this section is a Class A misdemeanor, provided that:</w:t>
      </w:r>
    </w:p>
    <w:p w:rsidR="009A32D7" w:rsidRDefault="00D72E89">
      <w:pPr>
        <w:pStyle w:val="BodyA"/>
        <w:spacing w:line="240" w:lineRule="auto"/>
        <w:ind w:left="720"/>
        <w:jc w:val="both"/>
      </w:pPr>
      <w:r>
        <w:t>(1)  the writing is not attached to tangible property to indicate the price for the sale of that property; and</w:t>
      </w:r>
    </w:p>
    <w:p w:rsidR="009A32D7" w:rsidRDefault="00D72E89">
      <w:pPr>
        <w:pStyle w:val="BodyA"/>
        <w:spacing w:line="240" w:lineRule="auto"/>
        <w:ind w:left="720"/>
        <w:jc w:val="both"/>
      </w:pPr>
      <w:r>
        <w:t>(2)  the actor did not engage in the conduct described by Subsection (a) with respect to that writing for the purpose of obtaining the property for a lesser price indicated by a separate writing.</w:t>
      </w:r>
    </w:p>
    <w:p w:rsidR="009A32D7" w:rsidRDefault="00D72E89">
      <w:pPr>
        <w:pStyle w:val="BodyA"/>
        <w:spacing w:line="240" w:lineRule="auto"/>
        <w:jc w:val="both"/>
      </w:pPr>
      <w:r>
        <w:t>(e)  If at the time of the offense the writing was attached to tangible property to indicate the price for the sale of that property and the actor engaged in the conduct described by Subsection (a) with respect to that writing for the purpose of obtaining the property for a lesser price indicated by a separate writing, an offense under this section is:</w:t>
      </w:r>
    </w:p>
    <w:p w:rsidR="009A32D7" w:rsidRDefault="00D72E89">
      <w:pPr>
        <w:pStyle w:val="BodyA"/>
        <w:spacing w:line="240" w:lineRule="auto"/>
        <w:ind w:left="720"/>
        <w:jc w:val="both"/>
      </w:pPr>
      <w:r>
        <w:t>(1)  a Class C misdemeanor if the difference between the impaired writing and the lesser price indicated by the other writing is less than $100;</w:t>
      </w:r>
    </w:p>
    <w:p w:rsidR="009A32D7" w:rsidRDefault="00D72E89">
      <w:pPr>
        <w:pStyle w:val="BodyA"/>
        <w:spacing w:line="240" w:lineRule="auto"/>
        <w:ind w:left="720"/>
        <w:jc w:val="both"/>
      </w:pPr>
      <w:r>
        <w:t>(2)  a Class B misdemeanor if the difference between the impaired writing and the lesser price indicated by the other writing is $100 or more but less than $750;</w:t>
      </w:r>
    </w:p>
    <w:p w:rsidR="009A32D7" w:rsidRDefault="00D72E89">
      <w:pPr>
        <w:pStyle w:val="BodyA"/>
        <w:spacing w:line="240" w:lineRule="auto"/>
        <w:ind w:left="720"/>
        <w:jc w:val="both"/>
      </w:pPr>
      <w:r>
        <w:t>(3)  a Class A misdemeanor if the difference between the impaired writing and the lesser price indicated by the other writing is $750 or more but less than $2,500;</w:t>
      </w:r>
    </w:p>
    <w:p w:rsidR="009A32D7" w:rsidRDefault="00D72E89">
      <w:pPr>
        <w:pStyle w:val="BodyA"/>
        <w:spacing w:line="240" w:lineRule="auto"/>
        <w:ind w:left="720"/>
        <w:jc w:val="both"/>
      </w:pPr>
      <w:r>
        <w:t>(4)  a state jail felony if the difference between the impaired writing and the lesser price indicated by the other writing is $2,500 or more but less than $30,000;</w:t>
      </w:r>
    </w:p>
    <w:p w:rsidR="009A32D7" w:rsidRDefault="00D72E89">
      <w:pPr>
        <w:pStyle w:val="BodyA"/>
        <w:spacing w:line="240" w:lineRule="auto"/>
        <w:ind w:left="720"/>
        <w:jc w:val="both"/>
      </w:pPr>
      <w:r>
        <w:t>(5)  a felony of the third degree if the difference between the impaired writing and the lesser price indicated by the other writing is $30,000 or more but less than $150,000;</w:t>
      </w:r>
    </w:p>
    <w:p w:rsidR="009A32D7" w:rsidRDefault="00D72E89">
      <w:pPr>
        <w:pStyle w:val="BodyA"/>
        <w:spacing w:line="240" w:lineRule="auto"/>
        <w:ind w:left="720"/>
        <w:jc w:val="both"/>
      </w:pPr>
      <w:r>
        <w:t>(6)  a felony of the second degree if the difference between the impaired writing and the lesser price indicated by the other writing is $150,000 or more but less than $300,000; or</w:t>
      </w:r>
    </w:p>
    <w:p w:rsidR="009A32D7" w:rsidRDefault="00D72E89">
      <w:pPr>
        <w:pStyle w:val="BodyA"/>
        <w:spacing w:line="240" w:lineRule="auto"/>
        <w:ind w:left="720"/>
        <w:jc w:val="both"/>
      </w:pPr>
      <w:r>
        <w:t>(7)  a felony of the first degree if the difference between the impaired writing and the lesser price indicated by the other writing is $300,000 or more.</w:t>
      </w:r>
    </w:p>
    <w:p w:rsidR="009A32D7" w:rsidRDefault="00D72E89">
      <w:pPr>
        <w:pStyle w:val="BodyA"/>
        <w:spacing w:line="240" w:lineRule="auto"/>
        <w:jc w:val="both"/>
      </w:pPr>
      <w:r>
        <w:rPr>
          <w:rStyle w:val="None"/>
          <w:b/>
          <w:bCs/>
        </w:rPr>
        <w:t>33A.051, FALSE CALLER IDENTIFICATION INFORMATION DISPLAY [HB101]:</w:t>
      </w:r>
      <w:r>
        <w:t xml:space="preserve"> House Bill 101 creates this new “spoofing” offense</w:t>
      </w:r>
      <w:r>
        <w:rPr>
          <w:rStyle w:val="None"/>
          <w:vertAlign w:val="superscript"/>
        </w:rPr>
        <w:footnoteReference w:id="14"/>
      </w:r>
      <w:r>
        <w:t xml:space="preserve">. A person commits an offense if the person, </w:t>
      </w:r>
      <w:r>
        <w:rPr>
          <w:rStyle w:val="None"/>
          <w:u w:val="single"/>
        </w:rPr>
        <w:t>with the intent to defraud or cause harm</w:t>
      </w:r>
      <w:r>
        <w:t xml:space="preserve">, makes a call or engages in any other conduct using any type of technology that results in the display on another person's telecommunications device of data that misrepresents the actor's identity or telephone number. An offense under this section is a M/A. As a general rule, a conviction for an offense under this section may </w:t>
      </w:r>
      <w:r>
        <w:rPr>
          <w:rStyle w:val="None"/>
          <w:u w:val="single"/>
        </w:rPr>
        <w:t>not</w:t>
      </w:r>
      <w:r>
        <w:t xml:space="preserve"> be used for enhancement purposes under any other section of this chapter.</w:t>
      </w:r>
    </w:p>
    <w:p w:rsidR="009A32D7" w:rsidRDefault="00D72E89">
      <w:pPr>
        <w:pStyle w:val="BodyA"/>
        <w:spacing w:line="240" w:lineRule="auto"/>
        <w:jc w:val="both"/>
      </w:pPr>
      <w:r>
        <w:t>It is important, though, to note that it is a defense to prosecution that the actor:</w:t>
      </w:r>
    </w:p>
    <w:p w:rsidR="009A32D7" w:rsidRDefault="00D72E89">
      <w:pPr>
        <w:pStyle w:val="BodyA"/>
        <w:spacing w:line="240" w:lineRule="auto"/>
        <w:ind w:left="720"/>
        <w:jc w:val="both"/>
      </w:pPr>
      <w:r>
        <w:t>(1)  blocked caller identification information;</w:t>
      </w:r>
    </w:p>
    <w:p w:rsidR="009A32D7" w:rsidRDefault="00D72E89">
      <w:pPr>
        <w:pStyle w:val="BodyA"/>
        <w:spacing w:line="240" w:lineRule="auto"/>
        <w:ind w:left="720"/>
        <w:jc w:val="both"/>
      </w:pPr>
      <w:r>
        <w:t>(2)  was a peace officer or federal law enforcement officer lawfully discharging an official duty;</w:t>
      </w:r>
    </w:p>
    <w:p w:rsidR="009A32D7" w:rsidRDefault="00D72E89">
      <w:pPr>
        <w:pStyle w:val="BodyA"/>
        <w:spacing w:line="240" w:lineRule="auto"/>
        <w:ind w:left="720"/>
        <w:jc w:val="both"/>
      </w:pPr>
      <w:r>
        <w:t>(3)  was an officer, agent, or employee of a federal intelligence or security agency lawfully discharging an official duty;</w:t>
      </w:r>
    </w:p>
    <w:p w:rsidR="009A32D7" w:rsidRDefault="00D72E89">
      <w:pPr>
        <w:pStyle w:val="BodyA"/>
        <w:spacing w:line="240" w:lineRule="auto"/>
        <w:ind w:left="720"/>
        <w:jc w:val="both"/>
      </w:pPr>
      <w:r>
        <w:t>(4)  was an officer, agent, or employee of a telecommunications service provider who was:</w:t>
      </w:r>
    </w:p>
    <w:p w:rsidR="009A32D7" w:rsidRDefault="00D72E89">
      <w:pPr>
        <w:pStyle w:val="BodyA"/>
        <w:spacing w:line="240" w:lineRule="auto"/>
        <w:ind w:left="1440"/>
        <w:jc w:val="both"/>
      </w:pPr>
      <w:r>
        <w:t>(A)  acting in the provider's capacity as an intermediary for the transmission of telephone service, a Voice over Internet Protocol transmission, or another type of telecommunications transmission between the caller and the recipient;</w:t>
      </w:r>
    </w:p>
    <w:p w:rsidR="009A32D7" w:rsidRDefault="00D72E89">
      <w:pPr>
        <w:pStyle w:val="BodyA"/>
        <w:spacing w:line="240" w:lineRule="auto"/>
        <w:ind w:left="1440"/>
        <w:jc w:val="both"/>
      </w:pPr>
      <w:r>
        <w:t>(B)  providing or configuring a service or service feature as requested by a customer;</w:t>
      </w:r>
    </w:p>
    <w:p w:rsidR="009A32D7" w:rsidRDefault="00D72E89">
      <w:pPr>
        <w:pStyle w:val="BodyA"/>
        <w:spacing w:line="240" w:lineRule="auto"/>
        <w:ind w:left="1440"/>
        <w:jc w:val="both"/>
      </w:pPr>
      <w:r>
        <w:t>(C)  acting in a manner that is authorized or required by other law; or</w:t>
      </w:r>
    </w:p>
    <w:p w:rsidR="009A32D7" w:rsidRDefault="00D72E89">
      <w:pPr>
        <w:pStyle w:val="BodyA"/>
        <w:spacing w:line="240" w:lineRule="auto"/>
        <w:ind w:left="1440"/>
        <w:jc w:val="both"/>
      </w:pPr>
      <w:r>
        <w:t>(D)  engaging in other conduct that is a necessary incident to the provision of service; or</w:t>
      </w:r>
    </w:p>
    <w:p w:rsidR="009A32D7" w:rsidRDefault="00D72E89">
      <w:pPr>
        <w:pStyle w:val="BodyA"/>
        <w:spacing w:line="240" w:lineRule="auto"/>
        <w:ind w:left="720"/>
        <w:jc w:val="both"/>
      </w:pPr>
      <w:r>
        <w:t>(5)  was a private investigator licensed under Chapter 1702, Occupations Code, lawfully conducting an investigation.</w:t>
      </w:r>
    </w:p>
    <w:p w:rsidR="009A32D7" w:rsidRDefault="00D72E89">
      <w:pPr>
        <w:pStyle w:val="BodyA"/>
        <w:spacing w:line="240" w:lineRule="auto"/>
        <w:jc w:val="both"/>
        <w:rPr>
          <w:rStyle w:val="None"/>
          <w:b/>
          <w:bCs/>
        </w:rPr>
      </w:pPr>
      <w:r>
        <w:rPr>
          <w:rStyle w:val="None"/>
          <w:b/>
          <w:bCs/>
        </w:rPr>
        <w:t xml:space="preserve">34.01, MONEY LAUNDERING: DEFINITIONS [SB207]: </w:t>
      </w:r>
      <w:r>
        <w:t>Senate Bill 207 adds the term “digital currency” to subsection (d) of the “funds” inclusion list.</w:t>
      </w:r>
      <w:r>
        <w:rPr>
          <w:rStyle w:val="None"/>
          <w:b/>
          <w:bCs/>
        </w:rPr>
        <w:t xml:space="preserve">  </w:t>
      </w:r>
    </w:p>
    <w:p w:rsidR="009A32D7" w:rsidRDefault="00D72E89">
      <w:pPr>
        <w:pStyle w:val="BodyA"/>
        <w:spacing w:line="240" w:lineRule="auto"/>
        <w:jc w:val="both"/>
        <w:rPr>
          <w:rStyle w:val="None"/>
          <w:b/>
          <w:bCs/>
        </w:rPr>
      </w:pPr>
      <w:r>
        <w:rPr>
          <w:rStyle w:val="None"/>
          <w:b/>
          <w:bCs/>
        </w:rPr>
        <w:t>Chapter 35A is retitled HEALTH CARE FRAUD from MEDICAID FRAUD. [HB2894].</w:t>
      </w:r>
    </w:p>
    <w:p w:rsidR="009A32D7" w:rsidRDefault="00D72E89">
      <w:pPr>
        <w:pStyle w:val="BodyA"/>
        <w:spacing w:line="240" w:lineRule="auto"/>
        <w:jc w:val="both"/>
      </w:pPr>
      <w:r>
        <w:rPr>
          <w:rStyle w:val="None"/>
          <w:b/>
          <w:bCs/>
        </w:rPr>
        <w:t>35A.01, DEFINITIONS [HB2894]:</w:t>
      </w:r>
      <w:r>
        <w:t xml:space="preserve"> House Bill 2894 amends or adds multiple definitions in this section.</w:t>
      </w:r>
    </w:p>
    <w:p w:rsidR="009A32D7" w:rsidRDefault="00D72E89">
      <w:pPr>
        <w:pStyle w:val="BodyA"/>
        <w:spacing w:line="240" w:lineRule="auto"/>
        <w:jc w:val="both"/>
      </w:pPr>
      <w:r>
        <w:rPr>
          <w:rStyle w:val="None"/>
          <w:b/>
          <w:bCs/>
        </w:rPr>
        <w:t>35A.02. MEDICAID FRAUD is amended to HEALTH CARE FRAUD [HB2894]:</w:t>
      </w:r>
      <w:r>
        <w:t xml:space="preserve"> House Bill 2894 amends this section to remove all references to “Medicaid” and replace them with the term “health care.” It removes the list of applicable facilities and replaces them with the term “under a health care program.” It adds federal health care to the applicable health care systems.  </w:t>
      </w:r>
    </w:p>
    <w:p w:rsidR="009A32D7" w:rsidRDefault="00D72E89">
      <w:pPr>
        <w:pStyle w:val="BodyA"/>
        <w:spacing w:line="240" w:lineRule="auto"/>
        <w:jc w:val="both"/>
      </w:pPr>
      <w:r>
        <w:rPr>
          <w:rStyle w:val="None"/>
          <w:b/>
          <w:bCs/>
        </w:rPr>
        <w:t>37.082. MISREPRESENTING CHILD AS FAMILY MEMBER AT PORT OF ENTRY [HB888]:</w:t>
      </w:r>
      <w:r>
        <w:t xml:space="preserve"> House Bill 888 creates this new offense, which states that a person commits an offense if the person, with intent to commit an offense under §20A.02, </w:t>
      </w:r>
      <w:r>
        <w:rPr>
          <w:rStyle w:val="None"/>
          <w:i/>
          <w:iCs/>
        </w:rPr>
        <w:t>Trafficking of Persons</w:t>
      </w:r>
      <w:r>
        <w:t>, knowingly misrepresents a child as a family member of the person to a peace officer or federal special investigator at a port of entry. For purposes of this new offense, "child" means a person younger than 18 years of age; "family member" means a person who is related to another person by consanguinity or affinity; and "port of entry" means a place designated by executive order of the President of the United States, by order of the United States Secretary of the Treasury, or by act of the United States Congress, at which a customs officer is authorized to enforce customs laws.</w:t>
      </w:r>
    </w:p>
    <w:p w:rsidR="009A32D7" w:rsidRDefault="00D72E89">
      <w:pPr>
        <w:pStyle w:val="BodyA"/>
        <w:spacing w:line="240" w:lineRule="auto"/>
        <w:jc w:val="both"/>
      </w:pPr>
      <w:r>
        <w:t>An offense under this section is a M/B. If conduct that constitutes an offense under this section also constitutes an offense under another law, the actor may be prosecuted under this section, the other law, or both.</w:t>
      </w:r>
    </w:p>
    <w:p w:rsidR="009A32D7" w:rsidRDefault="00D72E89">
      <w:pPr>
        <w:pStyle w:val="BodyA"/>
        <w:spacing w:line="240" w:lineRule="auto"/>
        <w:jc w:val="both"/>
        <w:rPr>
          <w:rStyle w:val="None"/>
          <w:b/>
          <w:bCs/>
        </w:rPr>
      </w:pPr>
      <w:r>
        <w:rPr>
          <w:rStyle w:val="None"/>
          <w:b/>
          <w:bCs/>
        </w:rPr>
        <w:t xml:space="preserve">37.11, IMPERSONATING PUBLIC SERVANT [SB1820]: </w:t>
      </w:r>
      <w:r>
        <w:t xml:space="preserve">Senate Bill 1820 cleans up a loophole where entities were registering to avoid the definition of “no lawful existence” language in the statute. It now simply reads: (a) A person commits an offense if the person (1) impersonates a public servant with intent to induce another to submit to the person’s pretended official authority or to rely on the person’s pretend official acts; or (2) knowingly purports to exercise, </w:t>
      </w:r>
      <w:r>
        <w:rPr>
          <w:rStyle w:val="None"/>
          <w:u w:val="single"/>
        </w:rPr>
        <w:t>without legal authority</w:t>
      </w:r>
      <w:r>
        <w:t>, any function of a public servant or of a public office including that of a judge and court.</w:t>
      </w:r>
    </w:p>
    <w:p w:rsidR="009A32D7" w:rsidRDefault="00D72E89">
      <w:pPr>
        <w:pStyle w:val="BodyA"/>
        <w:spacing w:line="240" w:lineRule="auto"/>
        <w:jc w:val="both"/>
      </w:pPr>
      <w:r>
        <w:rPr>
          <w:rStyle w:val="None"/>
          <w:b/>
          <w:bCs/>
        </w:rPr>
        <w:t>38.111, IMPROPER CONTACT WITH VICTIM [HB1343]:</w:t>
      </w:r>
      <w:r>
        <w:t xml:space="preserve"> House Bill 1343 amends this section by extending protection, previously given to only child victims, to victims who were 17 YOA or older at the time of the offense. This is accomplished by stating that the contact is prohibited if the director of the correctional facility where the person [i.e., the actor] is confined has not received written consent from “the victim, if the victim was 17 years of age or older at the time of the commission of the offense for which the person is confined.” While adult victims may “opt out” the contact with child victims remains firmly prohibited.</w:t>
      </w:r>
    </w:p>
    <w:p w:rsidR="007530C5" w:rsidRDefault="007530C5">
      <w:pPr>
        <w:rPr>
          <w:rStyle w:val="None"/>
          <w:rFonts w:ascii="Arial" w:hAnsi="Arial" w:cs="Arial Unicode MS"/>
          <w:b/>
          <w:bCs/>
          <w:color w:val="000000"/>
          <w:u w:color="000000"/>
          <w14:textOutline w14:w="12700" w14:cap="flat" w14:cmpd="sng" w14:algn="ctr">
            <w14:noFill/>
            <w14:prstDash w14:val="solid"/>
            <w14:miter w14:lim="400000"/>
          </w14:textOutline>
        </w:rPr>
      </w:pPr>
      <w:r>
        <w:rPr>
          <w:rStyle w:val="None"/>
          <w:b/>
          <w:bCs/>
        </w:rPr>
        <w:br w:type="page"/>
      </w:r>
    </w:p>
    <w:p w:rsidR="009A32D7" w:rsidRDefault="00D72E89">
      <w:pPr>
        <w:pStyle w:val="BodyA"/>
        <w:spacing w:line="240" w:lineRule="auto"/>
        <w:jc w:val="both"/>
      </w:pPr>
      <w:r>
        <w:rPr>
          <w:rStyle w:val="None"/>
          <w:b/>
          <w:bCs/>
        </w:rPr>
        <w:t xml:space="preserve">38.14, TAKING OR ATTEMPTING TO TAKE WEAPON FROM A PEACE OFFICER, FEDERAL SPECIAL INVESTIGATOR, EMPLOYEE OR OFFICIAL OF CORRECTIONAL FACILITY, PAROLE OFFICER, COMMUNITY SUPERVISIONS AND CORRECTIONS DEPARTMENT OFFICER, OR COMMISSIONED SECURITY OFFICER [SB1754]: </w:t>
      </w:r>
      <w:r>
        <w:t>Removes the requirement for “intent to harm” from the elements of the offense. This was often difficult to prove; now if a defendant takes or attempts to take the weapon that is the entire offense.</w:t>
      </w:r>
    </w:p>
    <w:p w:rsidR="009A32D7" w:rsidRDefault="00D72E89">
      <w:pPr>
        <w:pStyle w:val="BodyA"/>
        <w:spacing w:line="240" w:lineRule="auto"/>
        <w:jc w:val="both"/>
      </w:pPr>
      <w:r>
        <w:rPr>
          <w:rStyle w:val="None"/>
          <w:b/>
          <w:bCs/>
        </w:rPr>
        <w:t xml:space="preserve">42.075, DISCLOSURE OF CONFIDENTIAL INFORMATION REGARDING FAMILY VIOLENCE OR VICTIMS OF TRAFFICKING SHELTER CENTER [HB3091]: </w:t>
      </w:r>
      <w:r>
        <w:t xml:space="preserve">House Bill 3091 creates this new M/A offense. A person commits an offense if the person, with the intent to threaten the safety of any inhabitant of a family violence shelter center or victims of trafficking shelter center, discloses or publicizes the location or physical layout of the center. If conduct constituting an offense under this section also constitutes an offense under Government Code §552.352, </w:t>
      </w:r>
      <w:r>
        <w:rPr>
          <w:rStyle w:val="None"/>
          <w:i/>
          <w:iCs/>
        </w:rPr>
        <w:t>Distribution or Misuse of Confidential Information</w:t>
      </w:r>
      <w:r>
        <w:t xml:space="preserve">, the actor may be prosecuted under either section. "Family violence shelter center" and "victims of trafficking shelter center" have the meanings assigned by Government Code §552.138, </w:t>
      </w:r>
      <w:r>
        <w:rPr>
          <w:rStyle w:val="None"/>
          <w:i/>
          <w:iCs/>
        </w:rPr>
        <w:t>Confidentiality of Family Violence Shelter Center, Victims of Trafficking Shelter Center, and Sexual Assault Program Information</w:t>
      </w:r>
      <w:r>
        <w:t>.</w:t>
      </w:r>
    </w:p>
    <w:p w:rsidR="009A32D7" w:rsidRDefault="00D72E89">
      <w:pPr>
        <w:pStyle w:val="BodyA"/>
        <w:spacing w:line="240" w:lineRule="auto"/>
        <w:jc w:val="both"/>
      </w:pPr>
      <w:r>
        <w:rPr>
          <w:rStyle w:val="None"/>
          <w:b/>
          <w:bCs/>
        </w:rPr>
        <w:t xml:space="preserve">43.01, DEFINITIONS [SB20]: </w:t>
      </w:r>
      <w:r>
        <w:t>New definitions added for “access software provider,” “information content provider,” “interactive computer service,” and “internet” for application in the new statutes.</w:t>
      </w:r>
    </w:p>
    <w:p w:rsidR="009A32D7" w:rsidRDefault="00D72E89">
      <w:pPr>
        <w:pStyle w:val="BodyA"/>
        <w:spacing w:line="240" w:lineRule="auto"/>
        <w:jc w:val="both"/>
        <w:rPr>
          <w:rStyle w:val="None"/>
          <w:b/>
          <w:bCs/>
        </w:rPr>
      </w:pPr>
      <w:r>
        <w:rPr>
          <w:rStyle w:val="None"/>
          <w:b/>
          <w:bCs/>
        </w:rPr>
        <w:t xml:space="preserve">43.02, PROSTITUTION [SB20]: </w:t>
      </w:r>
      <w:r>
        <w:t xml:space="preserve">Enhancement punishment for subsequent offenses </w:t>
      </w:r>
      <w:r>
        <w:rPr>
          <w:rStyle w:val="None"/>
          <w:u w:val="single"/>
        </w:rPr>
        <w:t>for buyers</w:t>
      </w:r>
      <w:r>
        <w:t xml:space="preserve"> raised from M/A to SJF.</w:t>
      </w:r>
    </w:p>
    <w:p w:rsidR="009A32D7" w:rsidRDefault="00D72E89">
      <w:pPr>
        <w:pStyle w:val="BodyA"/>
        <w:spacing w:line="240" w:lineRule="auto"/>
        <w:jc w:val="both"/>
      </w:pPr>
      <w:r>
        <w:rPr>
          <w:rStyle w:val="None"/>
          <w:b/>
          <w:bCs/>
        </w:rPr>
        <w:t>43.03, PROMOTION OF PROSTITUTION [SB1802]:</w:t>
      </w:r>
      <w:r>
        <w:t xml:space="preserve"> This bill changes punishment ranges under this section as follows:</w:t>
      </w:r>
    </w:p>
    <w:p w:rsidR="009A32D7" w:rsidRDefault="00D72E89">
      <w:pPr>
        <w:pStyle w:val="BodyA"/>
        <w:numPr>
          <w:ilvl w:val="0"/>
          <w:numId w:val="37"/>
        </w:numPr>
        <w:spacing w:line="240" w:lineRule="auto"/>
        <w:jc w:val="both"/>
      </w:pPr>
      <w:r>
        <w:t>First offense: F/3</w:t>
      </w:r>
    </w:p>
    <w:p w:rsidR="009A32D7" w:rsidRDefault="00D72E89">
      <w:pPr>
        <w:pStyle w:val="BodyA"/>
        <w:numPr>
          <w:ilvl w:val="0"/>
          <w:numId w:val="37"/>
        </w:numPr>
        <w:spacing w:line="240" w:lineRule="auto"/>
        <w:jc w:val="both"/>
      </w:pPr>
      <w:r>
        <w:t>Second Offense: F/2</w:t>
      </w:r>
    </w:p>
    <w:p w:rsidR="009A32D7" w:rsidRDefault="00D72E89">
      <w:pPr>
        <w:pStyle w:val="BodyA"/>
        <w:numPr>
          <w:ilvl w:val="0"/>
          <w:numId w:val="37"/>
        </w:numPr>
        <w:spacing w:line="240" w:lineRule="auto"/>
        <w:jc w:val="both"/>
      </w:pPr>
      <w:r>
        <w:t>Engaged in with person &lt;18 YOA: F/1</w:t>
      </w:r>
    </w:p>
    <w:p w:rsidR="009A32D7" w:rsidRDefault="00D72E89">
      <w:pPr>
        <w:pStyle w:val="BodyA"/>
        <w:spacing w:line="240" w:lineRule="auto"/>
        <w:jc w:val="both"/>
      </w:pPr>
      <w:r>
        <w:rPr>
          <w:rStyle w:val="None"/>
          <w:b/>
          <w:bCs/>
        </w:rPr>
        <w:t xml:space="preserve">43.031, ONLINE PROMOTION OF PROSTITUTION [SB20]: </w:t>
      </w:r>
      <w:r>
        <w:t xml:space="preserve">– This new offense catches the law up to modern sexual commerce and targets sites such as backpage.com, and makes it illegal if a person owns, manages, or operates an interactive computer service or operates as an information content provider with intent to promote prostitution of facilitate engaging in prostitution by another. The first offense is a F/3; a second offense, </w:t>
      </w:r>
      <w:r>
        <w:rPr>
          <w:rStyle w:val="None"/>
          <w:u w:val="single"/>
        </w:rPr>
        <w:t>or</w:t>
      </w:r>
      <w:r>
        <w:t xml:space="preserve"> if the crime involved someone &lt;18 YOA, is a F/2.</w:t>
      </w:r>
    </w:p>
    <w:p w:rsidR="009A32D7" w:rsidRDefault="00D72E89">
      <w:pPr>
        <w:pStyle w:val="BodyA"/>
        <w:spacing w:line="240" w:lineRule="auto"/>
        <w:jc w:val="both"/>
      </w:pPr>
      <w:r>
        <w:rPr>
          <w:rStyle w:val="None"/>
          <w:b/>
          <w:bCs/>
        </w:rPr>
        <w:t xml:space="preserve">43.04, AGGRAVATED PROMOTION OF PROSTITUTION [SB1802]: </w:t>
      </w:r>
      <w:r>
        <w:t>Senate Bill 1802 changed the punishment criteria to make this offense a F/1, regardless of the age of the victims.</w:t>
      </w:r>
    </w:p>
    <w:p w:rsidR="009A32D7" w:rsidRDefault="00D72E89">
      <w:pPr>
        <w:pStyle w:val="BodyA"/>
        <w:spacing w:line="240" w:lineRule="auto"/>
        <w:jc w:val="both"/>
      </w:pPr>
      <w:r>
        <w:rPr>
          <w:rStyle w:val="None"/>
          <w:b/>
          <w:bCs/>
        </w:rPr>
        <w:t>43.041, AGGRAVATED ONLINE PROMOTION OF PROSTITUTION [SB20]:</w:t>
      </w:r>
      <w:r>
        <w:t xml:space="preserve"> Online promotion of five or more persons </w:t>
      </w:r>
      <w:r>
        <w:rPr>
          <w:rStyle w:val="None"/>
          <w:u w:val="single"/>
        </w:rPr>
        <w:t>or</w:t>
      </w:r>
      <w:r>
        <w:t xml:space="preserve"> promotion of prostitution with a person &lt;18. A first offense is a F/2; repeat offenses are F/1s. This crime is automatically a F/1 if there are two or more victims &lt;18 YOA.</w:t>
      </w:r>
    </w:p>
    <w:p w:rsidR="009A32D7" w:rsidRDefault="00D72E89">
      <w:pPr>
        <w:pStyle w:val="BodyA"/>
        <w:spacing w:line="240" w:lineRule="auto"/>
        <w:jc w:val="both"/>
        <w:rPr>
          <w:rStyle w:val="None"/>
          <w:b/>
          <w:bCs/>
        </w:rPr>
      </w:pPr>
      <w:r>
        <w:rPr>
          <w:rStyle w:val="None"/>
          <w:b/>
          <w:bCs/>
        </w:rPr>
        <w:t xml:space="preserve">43.05, COMPELLING PROSTITUTION [SB1802]: </w:t>
      </w:r>
      <w:r>
        <w:t>The change to this statute</w:t>
      </w:r>
      <w:r>
        <w:rPr>
          <w:rStyle w:val="None"/>
          <w:b/>
          <w:bCs/>
        </w:rPr>
        <w:t xml:space="preserve"> </w:t>
      </w:r>
      <w:r>
        <w:t>adds “coercion” as a possible element of the offense and changed punishment to a F/1, regardless of the age of the victim(s).</w:t>
      </w:r>
    </w:p>
    <w:p w:rsidR="009A32D7" w:rsidRDefault="00D72E89">
      <w:pPr>
        <w:pStyle w:val="BodyA"/>
        <w:spacing w:line="240" w:lineRule="auto"/>
        <w:jc w:val="both"/>
      </w:pPr>
      <w:r>
        <w:rPr>
          <w:rStyle w:val="None"/>
          <w:b/>
          <w:bCs/>
        </w:rPr>
        <w:t>46.02, UNLAWFUL CARRYING WEAPONS; 46.05, PROHIBITED WEAPONS; and 46.15, NONAPPLICABILITY [HB446]:</w:t>
      </w:r>
      <w:r>
        <w:t xml:space="preserve"> These sections are amended as follows: </w:t>
      </w:r>
      <w:r>
        <w:rPr>
          <w:rStyle w:val="None"/>
          <w:b/>
          <w:bCs/>
        </w:rPr>
        <w:t>clubs</w:t>
      </w:r>
      <w:r>
        <w:t xml:space="preserve"> are </w:t>
      </w:r>
      <w:r>
        <w:rPr>
          <w:rStyle w:val="None"/>
          <w:u w:val="single"/>
        </w:rPr>
        <w:t>removed</w:t>
      </w:r>
      <w:r>
        <w:t xml:space="preserve"> from </w:t>
      </w:r>
      <w:r>
        <w:rPr>
          <w:rStyle w:val="None"/>
          <w:i/>
          <w:iCs/>
        </w:rPr>
        <w:t>Unlawful Carrying Weapons</w:t>
      </w:r>
      <w:r>
        <w:t xml:space="preserve">. </w:t>
      </w:r>
      <w:r>
        <w:rPr>
          <w:rStyle w:val="None"/>
          <w:b/>
          <w:bCs/>
        </w:rPr>
        <w:t>Knuckles</w:t>
      </w:r>
      <w:r>
        <w:t xml:space="preserve"> are </w:t>
      </w:r>
      <w:r>
        <w:rPr>
          <w:rStyle w:val="None"/>
          <w:u w:val="single"/>
        </w:rPr>
        <w:t>removed</w:t>
      </w:r>
      <w:r>
        <w:t xml:space="preserve"> from </w:t>
      </w:r>
      <w:r>
        <w:rPr>
          <w:rStyle w:val="None"/>
          <w:i/>
          <w:iCs/>
        </w:rPr>
        <w:t>Prohibited Weapons.</w:t>
      </w:r>
      <w:r>
        <w:t xml:space="preserve"> </w:t>
      </w:r>
      <w:r>
        <w:rPr>
          <w:rStyle w:val="None"/>
          <w:i/>
          <w:iCs/>
        </w:rPr>
        <w:t>Nonapplicability</w:t>
      </w:r>
      <w:r>
        <w:t xml:space="preserve"> is amended to strike references to §46.02 (UCW) vis-à-vis the carrying of a </w:t>
      </w:r>
      <w:r>
        <w:rPr>
          <w:rStyle w:val="None"/>
          <w:u w:val="single"/>
        </w:rPr>
        <w:t>club</w:t>
      </w:r>
      <w:r>
        <w:t xml:space="preserve">. </w:t>
      </w:r>
      <w:r w:rsidR="005E45B4">
        <w:t>Section 46.03,</w:t>
      </w:r>
      <w:r>
        <w:t xml:space="preserve"> </w:t>
      </w:r>
      <w:r>
        <w:rPr>
          <w:rStyle w:val="None"/>
          <w:i/>
          <w:iCs/>
        </w:rPr>
        <w:t>Places Weapons Prohibited</w:t>
      </w:r>
      <w:r>
        <w:t xml:space="preserve">, is unaffected and the prohibitions regarding clubs within that statute remain.  </w:t>
      </w:r>
    </w:p>
    <w:p w:rsidR="009A32D7" w:rsidRDefault="00D72E89">
      <w:pPr>
        <w:pStyle w:val="BodyA"/>
        <w:spacing w:line="240" w:lineRule="auto"/>
        <w:jc w:val="both"/>
      </w:pPr>
      <w:r>
        <w:rPr>
          <w:rStyle w:val="None"/>
          <w:b/>
          <w:bCs/>
        </w:rPr>
        <w:t>46.15, NONAPPLICABILITY [HB1177]:</w:t>
      </w:r>
      <w:r>
        <w:t xml:space="preserve"> House Bill 1177 amends this section by adding a change related to carrying handguns during a natural disaster. As a result of this bill, §46.02 (UCW) does not apply to a person who carries a handgun if:</w:t>
      </w:r>
    </w:p>
    <w:p w:rsidR="009A32D7" w:rsidRDefault="00D72E89">
      <w:pPr>
        <w:pStyle w:val="BodyA"/>
        <w:spacing w:line="240" w:lineRule="auto"/>
        <w:jc w:val="both"/>
      </w:pPr>
      <w:r>
        <w:t>(1)  the person carries the handgun while:</w:t>
      </w:r>
    </w:p>
    <w:p w:rsidR="009A32D7" w:rsidRDefault="00D72E89">
      <w:pPr>
        <w:pStyle w:val="BodyA"/>
        <w:spacing w:line="240" w:lineRule="auto"/>
        <w:ind w:left="720"/>
        <w:jc w:val="both"/>
      </w:pPr>
      <w:r>
        <w:t>(A)  evacuating from an area following the declaration of a state of disaster under Section 418.014, Government Code [Declaration of State of Disaster], or a local state of disaster under Section 418.108, Government Code [Declaration of Local Disaster], with respect to that area; or</w:t>
      </w:r>
    </w:p>
    <w:p w:rsidR="009A32D7" w:rsidRDefault="00D72E89">
      <w:pPr>
        <w:pStyle w:val="BodyA"/>
        <w:spacing w:line="240" w:lineRule="auto"/>
        <w:ind w:left="720"/>
        <w:jc w:val="both"/>
      </w:pPr>
      <w:r>
        <w:t>(B)  reentering that area following the person's evacuation;</w:t>
      </w:r>
    </w:p>
    <w:p w:rsidR="009A32D7" w:rsidRDefault="00D72E89">
      <w:pPr>
        <w:pStyle w:val="BodyA"/>
        <w:spacing w:line="240" w:lineRule="auto"/>
        <w:jc w:val="both"/>
      </w:pPr>
      <w:r>
        <w:t>(2)  not more than 168 hours</w:t>
      </w:r>
      <w:r>
        <w:rPr>
          <w:rStyle w:val="None"/>
          <w:vertAlign w:val="superscript"/>
        </w:rPr>
        <w:footnoteReference w:id="15"/>
      </w:r>
      <w:r>
        <w:t xml:space="preserve"> have elapsed since the state of disaster or local state of disaster was declared, or more than 168 hours have elapsed since the time the declaration was made and the governor has extended the period during which a person may carry a handgun under this subsection; and</w:t>
      </w:r>
    </w:p>
    <w:p w:rsidR="009A32D7" w:rsidRDefault="00D72E89">
      <w:pPr>
        <w:pStyle w:val="BodyA"/>
        <w:spacing w:line="240" w:lineRule="auto"/>
        <w:jc w:val="both"/>
      </w:pPr>
      <w:r>
        <w:t>(3)  the person is not prohibited by state or federal law from possessing a firearm.</w:t>
      </w:r>
    </w:p>
    <w:p w:rsidR="009A32D7" w:rsidRDefault="00D72E89">
      <w:pPr>
        <w:pStyle w:val="BodyA"/>
        <w:spacing w:line="240" w:lineRule="auto"/>
        <w:jc w:val="both"/>
      </w:pPr>
      <w:r>
        <w:t>Additionally, §§46.02 [UCW]; 46.03(a)(1), (a)(2), (a)(3), and (a)(4) [Places Weapons Prohibited]; and 46.035(a), (a-1), (a-2), (a-3), (b)(1), (b)(5), and (b)(6) [Unlawful Carrying of Handgun by License Holder] do not apply to a person who carries a handgun, if:</w:t>
      </w:r>
    </w:p>
    <w:p w:rsidR="009A32D7" w:rsidRDefault="00D72E89">
      <w:pPr>
        <w:pStyle w:val="BodyA"/>
        <w:spacing w:line="240" w:lineRule="auto"/>
        <w:jc w:val="both"/>
      </w:pPr>
      <w:r>
        <w:t xml:space="preserve">(1)  the person carries the handgun on the premises, as defined by the statute providing the applicable offense, of a location operating as an </w:t>
      </w:r>
      <w:r>
        <w:rPr>
          <w:rStyle w:val="None"/>
          <w:b/>
          <w:bCs/>
        </w:rPr>
        <w:t>emergency shelter</w:t>
      </w:r>
      <w:r>
        <w:t xml:space="preserve"> during a state of disaster declared under Section 418.014, Government Code, or a local state of disaster declared under Section 418.108, Government Code; [and]</w:t>
      </w:r>
    </w:p>
    <w:p w:rsidR="009A32D7" w:rsidRDefault="00D72E89">
      <w:pPr>
        <w:pStyle w:val="BodyA"/>
        <w:spacing w:line="240" w:lineRule="auto"/>
        <w:jc w:val="both"/>
      </w:pPr>
      <w:r>
        <w:t>(2)  the owner, controller, or operator of the premises or a person acting with the apparent authority of the owner, controller, or operator, authorized the carrying of the handgun; [and]</w:t>
      </w:r>
    </w:p>
    <w:p w:rsidR="009A32D7" w:rsidRDefault="00D72E89">
      <w:pPr>
        <w:pStyle w:val="BodyA"/>
        <w:spacing w:line="240" w:lineRule="auto"/>
        <w:jc w:val="both"/>
      </w:pPr>
      <w:r>
        <w:t>(3)  the person carrying the handgun complies with any rules and regulations of the owner, controller, or operator of the premises that govern the carrying of a handgun on the premises; and</w:t>
      </w:r>
    </w:p>
    <w:p w:rsidR="009A32D7" w:rsidRDefault="00D72E89">
      <w:pPr>
        <w:pStyle w:val="BodyA"/>
        <w:spacing w:line="240" w:lineRule="auto"/>
        <w:jc w:val="both"/>
      </w:pPr>
      <w:r>
        <w:t>(4)  the person is not prohibited by state or federal law from possessing a firearm.</w:t>
      </w:r>
    </w:p>
    <w:p w:rsidR="009A32D7" w:rsidRDefault="00D72E89">
      <w:pPr>
        <w:pStyle w:val="BodyA"/>
        <w:spacing w:line="240" w:lineRule="auto"/>
        <w:jc w:val="both"/>
      </w:pPr>
      <w:r>
        <w:t>Furthermore,</w:t>
      </w:r>
      <w:r>
        <w:rPr>
          <w:rStyle w:val="None"/>
          <w:b/>
          <w:bCs/>
        </w:rPr>
        <w:t xml:space="preserve"> House Bill 2584</w:t>
      </w:r>
      <w:r>
        <w:t xml:space="preserve"> adds subsection (h) to this statute. This new subsection states that code enforcement officers (e.g., animal control officers) are allowed to carry a club or similar instrument used specifically for deterring an animal bite while the officer is (a) performing official duties </w:t>
      </w:r>
      <w:r>
        <w:rPr>
          <w:rStyle w:val="None"/>
          <w:u w:val="single"/>
        </w:rPr>
        <w:t>or</w:t>
      </w:r>
      <w:r>
        <w:t xml:space="preserve"> (b) traveling to and from a place of duty. These officers must also be educated in the principles and procedures to be followed when possessing or carrying an instrument used specifically for deterring an animal bite. Of course, because clubs were largely removed, this may not matter.  </w:t>
      </w:r>
    </w:p>
    <w:p w:rsidR="009A32D7" w:rsidRDefault="00D72E89">
      <w:pPr>
        <w:pStyle w:val="BodyA"/>
        <w:spacing w:line="240" w:lineRule="auto"/>
        <w:jc w:val="both"/>
      </w:pPr>
      <w:r>
        <w:rPr>
          <w:rStyle w:val="None"/>
          <w:b/>
          <w:bCs/>
        </w:rPr>
        <w:t xml:space="preserve">46.15, NONAPPLICABILITY [HB1552]: </w:t>
      </w:r>
      <w:r>
        <w:t xml:space="preserve">House Bill 1552 amends this section by striking the previous applicable definition and adding the new language from the Occupations Code defining a “qualified retired law enforcement officer” as being those defined by the United States Congress in </w:t>
      </w:r>
      <w:hyperlink r:id="rId21" w:history="1">
        <w:r>
          <w:rPr>
            <w:rStyle w:val="Hyperlink1"/>
          </w:rPr>
          <w:t>18 U.S.C. §926C</w:t>
        </w:r>
      </w:hyperlink>
      <w:r>
        <w:t>.</w:t>
      </w:r>
    </w:p>
    <w:p w:rsidR="009A32D7" w:rsidRDefault="00D72E89">
      <w:pPr>
        <w:pStyle w:val="BodyA"/>
        <w:spacing w:line="240" w:lineRule="auto"/>
        <w:jc w:val="both"/>
        <w:rPr>
          <w:rStyle w:val="None"/>
          <w:b/>
          <w:bCs/>
        </w:rPr>
      </w:pPr>
      <w:r>
        <w:rPr>
          <w:rStyle w:val="None"/>
          <w:b/>
          <w:bCs/>
        </w:rPr>
        <w:t>49.09, ENHANCED OFFENSES AND PENALTIES [HB3582]:</w:t>
      </w:r>
      <w:r>
        <w:t xml:space="preserve"> House Bill 3582 added §49.045, </w:t>
      </w:r>
      <w:r>
        <w:rPr>
          <w:rStyle w:val="None"/>
          <w:i/>
          <w:iCs/>
        </w:rPr>
        <w:t>DWI with Child Passenger</w:t>
      </w:r>
      <w:r>
        <w:t xml:space="preserve">, to subsection (b) as making it a F/3 if the defendant has two prior DWI-related convictions. Previously, prosecutors could enhance </w:t>
      </w:r>
      <w:r w:rsidR="00DE12FF">
        <w:t xml:space="preserve">only </w:t>
      </w:r>
      <w:r>
        <w:t xml:space="preserve">the </w:t>
      </w:r>
      <w:r>
        <w:rPr>
          <w:rStyle w:val="None"/>
          <w:i/>
          <w:iCs/>
        </w:rPr>
        <w:t>Driving While Intoxicated</w:t>
      </w:r>
      <w:r>
        <w:t xml:space="preserve">, and not the </w:t>
      </w:r>
      <w:r>
        <w:rPr>
          <w:rStyle w:val="None"/>
          <w:i/>
          <w:iCs/>
        </w:rPr>
        <w:t>DWI with a Child Passenger</w:t>
      </w:r>
      <w:r>
        <w:t>.</w:t>
      </w:r>
    </w:p>
    <w:p w:rsidR="009A32D7" w:rsidRDefault="00D72E89">
      <w:pPr>
        <w:pStyle w:val="BodyA"/>
        <w:spacing w:line="240" w:lineRule="auto"/>
        <w:jc w:val="both"/>
      </w:pPr>
      <w:r>
        <w:rPr>
          <w:rStyle w:val="None"/>
          <w:b/>
          <w:bCs/>
        </w:rPr>
        <w:t>71.02, ENGAGING IN ORGANIZED CRIMINAL ACTIVITY [HB869]:</w:t>
      </w:r>
      <w:r>
        <w:t xml:space="preserve"> House Bill 869 adds §16.02, </w:t>
      </w:r>
      <w:r>
        <w:rPr>
          <w:rStyle w:val="None"/>
          <w:i/>
          <w:iCs/>
        </w:rPr>
        <w:t>Unlawful Interception, Use, or Disclosure of Wire, Oral, or Electronic Communication</w:t>
      </w:r>
      <w:r>
        <w:t xml:space="preserve">, to the list of qualifying predicate offenses. </w:t>
      </w:r>
    </w:p>
    <w:p w:rsidR="009A32D7" w:rsidRDefault="00D72E89">
      <w:pPr>
        <w:pStyle w:val="Heading"/>
      </w:pPr>
      <w:r>
        <w:t>Changes to the Texas Code of Criminal Procedure.</w:t>
      </w:r>
    </w:p>
    <w:p w:rsidR="009A32D7" w:rsidRDefault="00D72E89">
      <w:pPr>
        <w:pStyle w:val="BodyA"/>
        <w:spacing w:line="240" w:lineRule="auto"/>
        <w:jc w:val="both"/>
      </w:pPr>
      <w:r>
        <w:rPr>
          <w:rStyle w:val="None"/>
          <w:b/>
          <w:bCs/>
          <w:u w:val="single"/>
        </w:rPr>
        <w:t>Learning objective:</w:t>
      </w:r>
      <w:r>
        <w:t xml:space="preserve"> The SWBAT recognize selected changes and updates to the Texas Code of Criminal Procedure.</w:t>
      </w:r>
    </w:p>
    <w:p w:rsidR="009A32D7" w:rsidRDefault="00D72E89">
      <w:pPr>
        <w:pStyle w:val="BodyA"/>
        <w:spacing w:line="240" w:lineRule="auto"/>
        <w:jc w:val="both"/>
      </w:pPr>
      <w:r>
        <w:rPr>
          <w:rStyle w:val="None"/>
          <w:b/>
          <w:bCs/>
        </w:rPr>
        <w:t xml:space="preserve">Art. 2.12, Who Are Peace Officers [SB319]: </w:t>
      </w:r>
      <w:r>
        <w:t xml:space="preserve">Senate Bill 319 adds the Lubbock County Hospital District to the list of hospital districts authorized to appoint and employ peace officers under CCP Art. 2.12. The jurisdiction of a peace officer commissioned under this bill includes the property owned or controlled by the hospital district. In a district peace officer’s jurisdiction, the peace officer has the authority granted by Chapter 14, Code of Criminal Procedure, </w:t>
      </w:r>
      <w:r>
        <w:rPr>
          <w:rStyle w:val="None"/>
          <w:i/>
          <w:iCs/>
        </w:rPr>
        <w:t>Arrest Without Warrant</w:t>
      </w:r>
      <w:r>
        <w:t>.</w:t>
      </w:r>
      <w:r>
        <w:rPr>
          <w:rStyle w:val="None"/>
          <w:b/>
          <w:bCs/>
        </w:rPr>
        <w:t xml:space="preserve"> </w:t>
      </w:r>
      <w:r>
        <w:rPr>
          <w:rStyle w:val="None"/>
          <w:shd w:val="clear" w:color="auto" w:fill="FFFF00"/>
        </w:rPr>
        <w:t xml:space="preserve">Note that this law went into effect when the Governor signed it on </w:t>
      </w:r>
      <w:r>
        <w:rPr>
          <w:rStyle w:val="None"/>
          <w:b/>
          <w:bCs/>
          <w:shd w:val="clear" w:color="auto" w:fill="FFFF00"/>
        </w:rPr>
        <w:t>May 14, 2019</w:t>
      </w:r>
      <w:r>
        <w:rPr>
          <w:rStyle w:val="None"/>
          <w:shd w:val="clear" w:color="auto" w:fill="FFFF00"/>
        </w:rPr>
        <w:t>.</w:t>
      </w:r>
    </w:p>
    <w:p w:rsidR="009A32D7" w:rsidRDefault="00D72E89">
      <w:pPr>
        <w:pStyle w:val="BodyA"/>
        <w:spacing w:line="240" w:lineRule="auto"/>
        <w:jc w:val="both"/>
      </w:pPr>
      <w:r>
        <w:rPr>
          <w:rStyle w:val="None"/>
          <w:b/>
          <w:bCs/>
        </w:rPr>
        <w:t xml:space="preserve">Art. 2.122, Special Investigators [HB3863]: </w:t>
      </w:r>
      <w:r>
        <w:t>House Bill 3863 amends the Code of Criminal Procedure to establish that Special Agents of the</w:t>
      </w:r>
      <w:r>
        <w:rPr>
          <w:rStyle w:val="None"/>
          <w:color w:val="0432FF"/>
          <w:u w:color="0432FF"/>
        </w:rPr>
        <w:t xml:space="preserve"> </w:t>
      </w:r>
      <w:hyperlink r:id="rId22" w:history="1">
        <w:r>
          <w:rPr>
            <w:rStyle w:val="Hyperlink1"/>
          </w:rPr>
          <w:t>Office of Inspector General of the U.S. Department of Agriculture</w:t>
        </w:r>
      </w:hyperlink>
      <w:r>
        <w:t xml:space="preserve"> are deemed not to be peace officers but are granted the powers of arrest, search, and seizure under state laws as to felony offenses only. The bill also establishes that an officer or agent designated by the U.S. Secretary of Homeland Security for duty in connection with the protection of property owned or occupied by the federal government and persons on the property is not a peace officer but has those same powers with respect to any offense under state law. </w:t>
      </w:r>
      <w:r>
        <w:rPr>
          <w:rStyle w:val="None"/>
          <w:shd w:val="clear" w:color="auto" w:fill="FFFF00"/>
        </w:rPr>
        <w:t xml:space="preserve">Note that this law went into effect when the Governor signed it on </w:t>
      </w:r>
      <w:r>
        <w:rPr>
          <w:rStyle w:val="None"/>
          <w:b/>
          <w:bCs/>
          <w:shd w:val="clear" w:color="auto" w:fill="FFFF00"/>
        </w:rPr>
        <w:t>June 14, 2019</w:t>
      </w:r>
      <w:r>
        <w:rPr>
          <w:rStyle w:val="None"/>
          <w:shd w:val="clear" w:color="auto" w:fill="FFFF00"/>
        </w:rPr>
        <w:t>.</w:t>
      </w:r>
    </w:p>
    <w:p w:rsidR="009A32D7" w:rsidRDefault="00D72E89">
      <w:pPr>
        <w:pStyle w:val="BodyA"/>
        <w:spacing w:line="240" w:lineRule="auto"/>
        <w:jc w:val="both"/>
      </w:pPr>
      <w:r>
        <w:rPr>
          <w:rStyle w:val="None"/>
          <w:b/>
          <w:bCs/>
        </w:rPr>
        <w:t xml:space="preserve">Art. 2.126, PEACE OFFICERS COMMISSIONED BY THE ALABAMA-COUSHATTA TRIBE OF TEXAS AND THE KICKAPOO TRADITIONAL TRIBE OF TEXAS [SB2143]. </w:t>
      </w:r>
      <w:r>
        <w:t xml:space="preserve">Senate Bill 2143 amends the Code of Criminal Procedure to authorize the tribal council of the </w:t>
      </w:r>
      <w:hyperlink r:id="rId23" w:history="1">
        <w:r>
          <w:rPr>
            <w:rStyle w:val="Hyperlink1"/>
          </w:rPr>
          <w:t>Kickapoo Traditional Tribe of Texas</w:t>
        </w:r>
      </w:hyperlink>
      <w:r>
        <w:t xml:space="preserve"> to employ and commission peace officers for the purpose of enforcing state law within the boundaries of the tribe's reservation.</w:t>
      </w:r>
    </w:p>
    <w:p w:rsidR="009A32D7" w:rsidRDefault="00D72E89">
      <w:pPr>
        <w:pStyle w:val="BodyA"/>
        <w:spacing w:line="240" w:lineRule="auto"/>
        <w:jc w:val="both"/>
        <w:rPr>
          <w:rStyle w:val="None"/>
          <w:b/>
          <w:bCs/>
        </w:rPr>
      </w:pPr>
      <w:r>
        <w:rPr>
          <w:rStyle w:val="None"/>
          <w:b/>
          <w:bCs/>
        </w:rPr>
        <w:t xml:space="preserve">Art. 2.1305, CARRYING WEAPON ON CERTAIN PREMISES [HB2164): </w:t>
      </w:r>
      <w:r>
        <w:t>House Bill 2164 amends the CCP to subject an establishment serving the public that prohibits or otherwise restricts a peace officer or special investigator from lawfully carrying a weapon on the establishment's premises to a civil penalty of $1,000 for each violation. The bill authorizes the attorney general to sue to collect the civil penalty.</w:t>
      </w:r>
      <w:r>
        <w:rPr>
          <w:rStyle w:val="None"/>
          <w:b/>
          <w:bCs/>
        </w:rPr>
        <w:t xml:space="preserve">  </w:t>
      </w:r>
    </w:p>
    <w:p w:rsidR="009A32D7" w:rsidRDefault="00D72E89">
      <w:pPr>
        <w:pStyle w:val="BodyA"/>
        <w:spacing w:line="240" w:lineRule="auto"/>
        <w:jc w:val="both"/>
      </w:pPr>
      <w:r>
        <w:rPr>
          <w:rStyle w:val="None"/>
          <w:b/>
          <w:bCs/>
        </w:rPr>
        <w:t xml:space="preserve">Art. 2.305, REPORT REQUIRED CONCERNING HUMAN TRAFFICKING CASES [HB3800]: </w:t>
      </w:r>
      <w:r>
        <w:t>This bill requires that TxDPS and law enforcement agencies and prosecuting attorneys’ offices in a county with a population of 50,000 or more that investigate / prosecute the alleged commission of human trafficking or prostitution which may involve human trafficking, to submit a report to the Office of the [Texas] Attorney General. The OAG will contract with a university to assist in compiling and analyzing those data collected in compliance with this law. Reporting begins August 1, 2020 or 2021 depending on the size of the jurisdiction.</w:t>
      </w:r>
    </w:p>
    <w:p w:rsidR="009A32D7" w:rsidRDefault="00D72E89">
      <w:pPr>
        <w:pStyle w:val="BodyA"/>
        <w:spacing w:line="240" w:lineRule="auto"/>
        <w:jc w:val="both"/>
      </w:pPr>
      <w:r>
        <w:rPr>
          <w:rStyle w:val="None"/>
          <w:b/>
          <w:bCs/>
        </w:rPr>
        <w:t>Art. 7A.01, APPLICATION FOR PROTECTIVE ORDER [HB1343]:</w:t>
      </w:r>
      <w:r>
        <w:t xml:space="preserve"> House Bill 1343 amends this article by adding subsection (a-1) that now </w:t>
      </w:r>
      <w:r>
        <w:rPr>
          <w:rStyle w:val="None"/>
          <w:u w:val="single"/>
        </w:rPr>
        <w:t>requires</w:t>
      </w:r>
      <w:r>
        <w:t xml:space="preserve"> prosecutors to file for a protective order after they obtain a conviction or deferred adjudication under subsections (a)(1) or (a)(2). However, the attorney representing the state may </w:t>
      </w:r>
      <w:r>
        <w:rPr>
          <w:rStyle w:val="None"/>
          <w:u w:val="single"/>
        </w:rPr>
        <w:t>not</w:t>
      </w:r>
      <w:r>
        <w:t xml:space="preserve"> file an application under this new subsection (a-1) if the victim is ≥18 YOA and the victim requests that the prosecutor not file the application.</w:t>
      </w:r>
    </w:p>
    <w:p w:rsidR="009A32D7" w:rsidRDefault="00D72E89">
      <w:pPr>
        <w:pStyle w:val="BodyA"/>
        <w:spacing w:line="240" w:lineRule="auto"/>
        <w:jc w:val="both"/>
      </w:pPr>
      <w:r>
        <w:rPr>
          <w:rStyle w:val="None"/>
          <w:b/>
          <w:bCs/>
        </w:rPr>
        <w:t>Art. 7A.03, REQUIRED FINDINGS; ISSUANCE OF A PROTECTIVE ORDER [HB1343]:</w:t>
      </w:r>
      <w:r>
        <w:t xml:space="preserve"> HB 1343 amends this article by adding Subsection (c), which specifies that an offender's conviction or placement on deferred-adjudication community supervision for an offense listed in Article 7A.01(a)(1) or (a)(2)</w:t>
      </w:r>
      <w:r>
        <w:rPr>
          <w:rStyle w:val="None"/>
          <w:vertAlign w:val="superscript"/>
        </w:rPr>
        <w:footnoteReference w:id="16"/>
      </w:r>
      <w:r>
        <w:t xml:space="preserve"> constitutes reasonable grounds under Subsection (a).</w:t>
      </w:r>
    </w:p>
    <w:p w:rsidR="009A32D7" w:rsidRDefault="00D72E89">
      <w:pPr>
        <w:pStyle w:val="BodyA"/>
        <w:spacing w:line="240" w:lineRule="auto"/>
        <w:jc w:val="both"/>
      </w:pPr>
      <w:r>
        <w:rPr>
          <w:rStyle w:val="None"/>
          <w:b/>
          <w:bCs/>
        </w:rPr>
        <w:t>Art. 7A.07, DURATION OF PROTECTIVE ORDER [HB1343]:</w:t>
      </w:r>
      <w:r>
        <w:t xml:space="preserve"> House Bill 1343 amends this article by adding Subsection (a-1), which reads: </w:t>
      </w:r>
    </w:p>
    <w:p w:rsidR="009A32D7" w:rsidRDefault="00D72E89">
      <w:pPr>
        <w:pStyle w:val="BodyA"/>
        <w:spacing w:line="240" w:lineRule="auto"/>
        <w:jc w:val="both"/>
      </w:pPr>
      <w:r>
        <w:t>(a-1) The court shall issue a protective order effective for the duration of the lives of the offender and victim if the offender is:</w:t>
      </w:r>
    </w:p>
    <w:p w:rsidR="009A32D7" w:rsidRDefault="00D72E89">
      <w:pPr>
        <w:pStyle w:val="BodyA"/>
        <w:spacing w:line="240" w:lineRule="auto"/>
        <w:ind w:left="720"/>
        <w:jc w:val="both"/>
      </w:pPr>
      <w:r>
        <w:t>(1)  convicted of or placed on deferred adjudication community supervision for an offense listed in Article 7A.01(a)(1) or (2); and</w:t>
      </w:r>
    </w:p>
    <w:p w:rsidR="009A32D7" w:rsidRDefault="00D72E89">
      <w:pPr>
        <w:pStyle w:val="BodyA"/>
        <w:spacing w:line="240" w:lineRule="auto"/>
        <w:ind w:left="720"/>
        <w:jc w:val="both"/>
      </w:pPr>
      <w:r>
        <w:t>(2)  required under Chapter 62 to register for life as a sex offender.</w:t>
      </w:r>
    </w:p>
    <w:p w:rsidR="009A32D7" w:rsidRDefault="00D72E89">
      <w:pPr>
        <w:pStyle w:val="BodyA"/>
        <w:spacing w:line="240" w:lineRule="auto"/>
        <w:jc w:val="both"/>
      </w:pPr>
      <w:r>
        <w:rPr>
          <w:rStyle w:val="None"/>
          <w:b/>
          <w:bCs/>
        </w:rPr>
        <w:t>Art. 12.01, FELONIES [HB8 and HB2894]:</w:t>
      </w:r>
      <w:r>
        <w:t xml:space="preserve"> House Bill 2894 amends this article by replacing the terms “he” and “his” with “the public servant,” and replacing the term “Medicaid” with “health care.” Additionally, House Bill 8, The “Lavinia Masters Act,” removes both the statute of limitations for a sexual assault where biological evidence is collected and tested but yields an unknown profile; and the statute of limitations from sexual assault cases where biological evidence was collected but has not been tested.</w:t>
      </w:r>
    </w:p>
    <w:p w:rsidR="009A32D7" w:rsidRDefault="00D72E89">
      <w:pPr>
        <w:pStyle w:val="BodyA"/>
        <w:spacing w:line="240" w:lineRule="auto"/>
        <w:jc w:val="both"/>
      </w:pPr>
      <w:r>
        <w:rPr>
          <w:rStyle w:val="None"/>
          <w:b/>
          <w:bCs/>
          <w:u w:val="single"/>
        </w:rPr>
        <w:t>Note</w:t>
      </w:r>
      <w:r>
        <w:t>: The legislature in House Bill 8 enacted multiple, substantive changes to the CCP regarding preservation and testing timelines on sexual assault kits and requirements for agency reporting and auditing of the evidence.</w:t>
      </w:r>
    </w:p>
    <w:p w:rsidR="009A32D7" w:rsidRDefault="00D72E89">
      <w:pPr>
        <w:pStyle w:val="BodyA"/>
        <w:spacing w:line="240" w:lineRule="auto"/>
        <w:jc w:val="both"/>
      </w:pPr>
      <w:r>
        <w:rPr>
          <w:rStyle w:val="None"/>
          <w:b/>
          <w:bCs/>
        </w:rPr>
        <w:t>Art. 13.072, CONTINUOUS VIOLENCE AGAINST THE FAMILY COMMITTED IN MORE THAN ONE COUNTY [HB1661]:</w:t>
      </w:r>
      <w:r>
        <w:t xml:space="preserve"> House Bill 1661 (“Rachel’s Law”) adds this section, which states that an offense under §25.11, Penal Code [Continuous Violence Against the Family], may be prosecuted in any county in which the defendant engaged in the conduct constituting an offense under Section 22.01(a)(1) [Sexual Assault], Penal Code, against a person described by Section 25.11(a) Penal Code.</w:t>
      </w:r>
    </w:p>
    <w:p w:rsidR="009A32D7" w:rsidRDefault="00D72E89">
      <w:pPr>
        <w:pStyle w:val="BodyA"/>
        <w:spacing w:line="240" w:lineRule="auto"/>
        <w:jc w:val="both"/>
      </w:pPr>
      <w:r>
        <w:rPr>
          <w:rStyle w:val="None"/>
          <w:b/>
          <w:bCs/>
        </w:rPr>
        <w:t xml:space="preserve">Art. 13.29, CREDIT CARD OR DEBIT CARD ABUSE [HB2624]: </w:t>
      </w:r>
      <w:r>
        <w:t>This change expands the venue for credit card / debit card abuse to any county where the offense occurred or to the county of residence of the victim</w:t>
      </w:r>
    </w:p>
    <w:p w:rsidR="009A32D7" w:rsidRDefault="00D72E89">
      <w:pPr>
        <w:pStyle w:val="BodyA"/>
        <w:spacing w:line="240" w:lineRule="auto"/>
        <w:jc w:val="both"/>
        <w:rPr>
          <w:rStyle w:val="None"/>
          <w:b/>
          <w:bCs/>
        </w:rPr>
      </w:pPr>
      <w:r>
        <w:rPr>
          <w:rStyle w:val="None"/>
          <w:b/>
          <w:bCs/>
        </w:rPr>
        <w:t xml:space="preserve">Art. 14.031, PUBLIC INTOXICATION [SB306]: </w:t>
      </w:r>
      <w:r>
        <w:t xml:space="preserve">Allows a peace officer the option to release a person to a facility that provides a place for individuals to become sober under supervision, but only if the actor verbally consents to such and the facility agrees to accept the individual. </w:t>
      </w:r>
      <w:r>
        <w:rPr>
          <w:rStyle w:val="None"/>
          <w:shd w:val="clear" w:color="auto" w:fill="FFFF00"/>
        </w:rPr>
        <w:t xml:space="preserve">Note that this law went into effect when the Governor signed it on </w:t>
      </w:r>
      <w:r>
        <w:rPr>
          <w:rStyle w:val="None"/>
          <w:b/>
          <w:bCs/>
          <w:u w:val="single"/>
          <w:shd w:val="clear" w:color="auto" w:fill="FFFF00"/>
        </w:rPr>
        <w:t>April 25, 2019</w:t>
      </w:r>
      <w:r>
        <w:rPr>
          <w:rStyle w:val="None"/>
          <w:shd w:val="clear" w:color="auto" w:fill="FFFF00"/>
        </w:rPr>
        <w:t>.</w:t>
      </w:r>
    </w:p>
    <w:p w:rsidR="009A32D7" w:rsidRDefault="00D72E89">
      <w:pPr>
        <w:pStyle w:val="BodyA"/>
        <w:spacing w:line="240" w:lineRule="auto"/>
        <w:jc w:val="both"/>
        <w:rPr>
          <w:rStyle w:val="None"/>
          <w:b/>
          <w:bCs/>
        </w:rPr>
      </w:pPr>
      <w:r>
        <w:rPr>
          <w:rStyle w:val="None"/>
          <w:b/>
          <w:bCs/>
        </w:rPr>
        <w:t xml:space="preserve">Art. 14.035, AUTHORITY TO RELEASE IN LIEU OF ARREST CERTAIN PERSONS WITH INTELLECTUAL OR DEVELOPMENTAL DISABILITY [HB3540]: </w:t>
      </w:r>
      <w:r>
        <w:t>This change allows a peace officer to release persons with intellectual or developmental disabilities to the person’s residence if the person resides at a group home or intermediate-care facility and the officer consults with staff at the residence concerning the decision.</w:t>
      </w:r>
    </w:p>
    <w:p w:rsidR="009A32D7" w:rsidRDefault="00D72E89">
      <w:pPr>
        <w:pStyle w:val="BodyA"/>
        <w:spacing w:line="240" w:lineRule="auto"/>
        <w:jc w:val="both"/>
      </w:pPr>
      <w:r>
        <w:rPr>
          <w:rStyle w:val="None"/>
          <w:b/>
          <w:bCs/>
        </w:rPr>
        <w:t xml:space="preserve">Art. 15.27, NOTIFICATION TO SCHOOLS REQUIRED [SB2135]: </w:t>
      </w:r>
      <w:r>
        <w:t>This update increases the amount of information required in school notifications, requiring “enough information that the school may prepare a threat assessment or safety plan related to the student.”  This change also allows the superintendent or his designee access to law-enforcement information related to the specific child as required to prepare the plan.</w:t>
      </w:r>
    </w:p>
    <w:p w:rsidR="009A32D7" w:rsidRDefault="00D72E89">
      <w:pPr>
        <w:pStyle w:val="BodyA"/>
        <w:spacing w:line="240" w:lineRule="auto"/>
        <w:jc w:val="both"/>
      </w:pPr>
      <w:r>
        <w:rPr>
          <w:rStyle w:val="None"/>
          <w:b/>
          <w:bCs/>
          <w:u w:val="single"/>
        </w:rPr>
        <w:t>Note:</w:t>
      </w:r>
      <w:r>
        <w:t xml:space="preserve"> Related changes were made to both Family Code and Education Code by SB 2135.</w:t>
      </w:r>
    </w:p>
    <w:p w:rsidR="009A32D7" w:rsidRDefault="00D72E89">
      <w:pPr>
        <w:pStyle w:val="BodyA"/>
        <w:spacing w:line="240" w:lineRule="auto"/>
        <w:jc w:val="both"/>
      </w:pPr>
      <w:r>
        <w:rPr>
          <w:rStyle w:val="None"/>
          <w:b/>
          <w:bCs/>
        </w:rPr>
        <w:t xml:space="preserve">Art. 16.22, EARLY IDENTIFICATION OF DEFENDANT SUSPECTED OF HAVING MENTAL ILLNESS OR INTELLECTUAL DISABILITY [HB601 and SB362]: </w:t>
      </w:r>
      <w:r>
        <w:t>House Bill 601 amends the Code of Criminal Procedure, Government Code, and the Health &amp; Safety Code to provide for the interview of a defendant in custody who is suspected of having a mental illness or intellectual disability for purposes of identifying whether the defendant has such an illness or disability. The bill provides for the written report of such an interview and a standard form for purposes of providing such a report. The bill requires a county that transfers a defendant to TDCJ to deliver a copy of any information regarding the mental health of the defendant and any such report.</w:t>
      </w:r>
    </w:p>
    <w:p w:rsidR="009A32D7" w:rsidRDefault="00D72E89">
      <w:pPr>
        <w:pStyle w:val="BodyA"/>
        <w:spacing w:line="240" w:lineRule="auto"/>
        <w:jc w:val="both"/>
        <w:rPr>
          <w:rStyle w:val="None"/>
          <w:b/>
          <w:bCs/>
        </w:rPr>
      </w:pPr>
      <w:r>
        <w:t xml:space="preserve">Additionally, </w:t>
      </w:r>
      <w:r>
        <w:rPr>
          <w:rStyle w:val="None"/>
          <w:b/>
          <w:bCs/>
        </w:rPr>
        <w:t>Senate Bill 362</w:t>
      </w:r>
      <w:r>
        <w:t xml:space="preserve"> makes changes by adding subdivision (5), which now permits a court to release a defendant on bail if he’s charged with a non-violent offense. The defendant is then transferred “…to an appropriate court for outpatient mental health services”</w:t>
      </w:r>
      <w:r>
        <w:rPr>
          <w:rStyle w:val="None"/>
          <w:vertAlign w:val="superscript"/>
        </w:rPr>
        <w:footnoteReference w:id="17"/>
      </w:r>
      <w:r>
        <w:t xml:space="preserve"> under HSC Chapter 574, </w:t>
      </w:r>
      <w:r>
        <w:rPr>
          <w:rStyle w:val="None"/>
          <w:i/>
          <w:iCs/>
        </w:rPr>
        <w:t>Court-Ordered Mental Health Services</w:t>
      </w:r>
      <w:r>
        <w:t xml:space="preserve">. </w:t>
      </w:r>
      <w:r>
        <w:rPr>
          <w:rStyle w:val="None"/>
          <w:b/>
          <w:bCs/>
          <w:shd w:val="clear" w:color="auto" w:fill="FFFF00"/>
        </w:rPr>
        <w:t xml:space="preserve">It is important to note that the changes made by SB362 apply to any </w:t>
      </w:r>
      <w:r>
        <w:rPr>
          <w:rStyle w:val="None"/>
          <w:b/>
          <w:bCs/>
          <w:u w:val="single"/>
          <w:shd w:val="clear" w:color="auto" w:fill="FFFF00"/>
        </w:rPr>
        <w:t>proceedings</w:t>
      </w:r>
      <w:r>
        <w:rPr>
          <w:rStyle w:val="None"/>
          <w:b/>
          <w:bCs/>
          <w:shd w:val="clear" w:color="auto" w:fill="FFFF00"/>
        </w:rPr>
        <w:t xml:space="preserve"> that occur on or after September 1, 2019, </w:t>
      </w:r>
      <w:r>
        <w:rPr>
          <w:rStyle w:val="None"/>
          <w:b/>
          <w:bCs/>
          <w:u w:val="single"/>
          <w:shd w:val="clear" w:color="auto" w:fill="FFFF00"/>
        </w:rPr>
        <w:t>regardless of when the offense occurred</w:t>
      </w:r>
      <w:r>
        <w:rPr>
          <w:rStyle w:val="None"/>
          <w:b/>
          <w:bCs/>
          <w:shd w:val="clear" w:color="auto" w:fill="FFFF00"/>
        </w:rPr>
        <w:t xml:space="preserve">. The changes made by HB601 apply to </w:t>
      </w:r>
      <w:r>
        <w:rPr>
          <w:rStyle w:val="None"/>
          <w:b/>
          <w:bCs/>
          <w:u w:val="single"/>
          <w:shd w:val="clear" w:color="auto" w:fill="FFFF00"/>
        </w:rPr>
        <w:t>offenses</w:t>
      </w:r>
      <w:r>
        <w:rPr>
          <w:rStyle w:val="None"/>
          <w:b/>
          <w:bCs/>
          <w:shd w:val="clear" w:color="auto" w:fill="FFFF00"/>
        </w:rPr>
        <w:t xml:space="preserve"> that occur </w:t>
      </w:r>
      <w:r>
        <w:rPr>
          <w:rStyle w:val="None"/>
          <w:b/>
          <w:bCs/>
          <w:u w:val="single"/>
          <w:shd w:val="clear" w:color="auto" w:fill="FFFF00"/>
        </w:rPr>
        <w:t>on or after</w:t>
      </w:r>
      <w:r>
        <w:rPr>
          <w:rStyle w:val="None"/>
          <w:b/>
          <w:bCs/>
          <w:shd w:val="clear" w:color="auto" w:fill="FFFF00"/>
        </w:rPr>
        <w:t xml:space="preserve"> September 1, 2019.</w:t>
      </w:r>
    </w:p>
    <w:p w:rsidR="009A32D7" w:rsidRDefault="00D72E89">
      <w:pPr>
        <w:pStyle w:val="BodyA"/>
        <w:spacing w:line="240" w:lineRule="auto"/>
        <w:jc w:val="both"/>
        <w:rPr>
          <w:rStyle w:val="None"/>
          <w:b/>
          <w:bCs/>
        </w:rPr>
      </w:pPr>
      <w:r>
        <w:rPr>
          <w:rStyle w:val="None"/>
          <w:b/>
          <w:bCs/>
        </w:rPr>
        <w:t xml:space="preserve">Art. 17.294, CONFIDENTIALITY OF CERTAIN INFORMATION IN ORDER FOR EMERGENCY PROTECTION [SB2390]: </w:t>
      </w:r>
      <w:r>
        <w:t>Senate Bill 2390 amends subsection (1) of this article by requiring the person protected under the order to disclose the person’s mailing address to the court and to designate another person to receive, on behalf of the protected person, any notice or documents filed by the court related to the order. Additionally, subsection (2)(A) requires the court clerk to strike the mailing address of the person protected by the order from the public records of the court, if applicable. This should prohibit the release of the information to the defendant and help law enforcement conceal the possible address or mailing address of the person to be protected by the order.</w:t>
      </w:r>
    </w:p>
    <w:p w:rsidR="009A32D7" w:rsidRDefault="00D72E89">
      <w:pPr>
        <w:pStyle w:val="BodyA"/>
        <w:spacing w:line="240" w:lineRule="auto"/>
        <w:jc w:val="both"/>
      </w:pPr>
      <w:r>
        <w:rPr>
          <w:rStyle w:val="None"/>
          <w:b/>
          <w:bCs/>
        </w:rPr>
        <w:t xml:space="preserve">Art. 18.182, DISPOSITION OF ITEM BEARING COUNTERFEIT MARK [SB1164]: </w:t>
      </w:r>
      <w:r>
        <w:t xml:space="preserve">Senate Bill 1164 amends the CCP by adding this new article, which requires a court, upon conviction or order of deferred adjudication community supervision for a </w:t>
      </w:r>
      <w:r>
        <w:rPr>
          <w:rStyle w:val="None"/>
          <w:u w:val="single"/>
        </w:rPr>
        <w:t>trademark counterfeiting</w:t>
      </w:r>
      <w:r>
        <w:t xml:space="preserve"> offense, to order that any item bearing or identified by a counterfeit mark seized in connection with the offense be </w:t>
      </w:r>
      <w:r>
        <w:rPr>
          <w:rStyle w:val="None"/>
          <w:u w:val="single"/>
        </w:rPr>
        <w:t>destroyed or forfeited to the owner</w:t>
      </w:r>
      <w:r>
        <w:t xml:space="preserve"> of the protected mark at the owner's request.</w:t>
      </w:r>
    </w:p>
    <w:p w:rsidR="009A32D7" w:rsidRDefault="00D72E89">
      <w:pPr>
        <w:pStyle w:val="BodyA"/>
        <w:spacing w:line="240" w:lineRule="auto"/>
        <w:jc w:val="both"/>
      </w:pPr>
      <w:r>
        <w:rPr>
          <w:rStyle w:val="None"/>
          <w:b/>
          <w:bCs/>
        </w:rPr>
        <w:t>Art. 18B.001, DEFINITIONS [HB4157]:</w:t>
      </w:r>
      <w:r>
        <w:t xml:space="preserve"> House Bill 4157 amends the CCP to lower from 500,000 to 200,000 the minimum population threshold of a municipality whose police department is considered a designated law enforcement office or agency for purposes of statutory provisions governing wiretap equipment.</w:t>
      </w:r>
    </w:p>
    <w:p w:rsidR="009A32D7" w:rsidRDefault="00D72E89">
      <w:pPr>
        <w:pStyle w:val="BodyA"/>
        <w:spacing w:line="240" w:lineRule="auto"/>
        <w:jc w:val="both"/>
      </w:pPr>
      <w:r>
        <w:rPr>
          <w:rStyle w:val="None"/>
          <w:b/>
          <w:bCs/>
        </w:rPr>
        <w:t xml:space="preserve">Art. 26.13, PLEA OF GUILTY [HB1996]: </w:t>
      </w:r>
      <w:r>
        <w:t>House Bill 1996 amends the Code of Criminal Procedure to require a court to make both orally and in writing the admonition required to be given to a defendant before accepting a plea of guilty or no contest that, if the defendant is not a U.S. citizen, such a plea may result in deportation, exclusion from admission to the United States, or denial of naturalization under federal law. The bill requires the court to receive a signed statement by the defendant and the defendant's attorney that the defendant understands the admonition and is aware of the plea's consequences and to make a record if the defendant is unable or refuses to sign the statement.</w:t>
      </w:r>
      <w:r>
        <w:rPr>
          <w:rStyle w:val="None"/>
          <w:b/>
          <w:bCs/>
        </w:rPr>
        <w:t xml:space="preserve">  </w:t>
      </w:r>
    </w:p>
    <w:p w:rsidR="009A32D7" w:rsidRDefault="00D72E89">
      <w:pPr>
        <w:pStyle w:val="BodyA"/>
        <w:spacing w:line="240" w:lineRule="auto"/>
        <w:jc w:val="both"/>
      </w:pPr>
      <w:r>
        <w:rPr>
          <w:rStyle w:val="None"/>
          <w:b/>
          <w:bCs/>
        </w:rPr>
        <w:t xml:space="preserve">Art. 37.07, VERDICT MUST BE GENERAL; SEPARATE HEARING ON PROPER PUNISHMENT [HB2894]: </w:t>
      </w:r>
      <w:r>
        <w:t>House Bill 2894 amends Section (3)(a)(3) by removing the term “Medicaid” and replacing it with the term “health care.” It is further amended by updating the language regarding the method in which testimony may be offered during punishment and removing all references to “Medicaid” and replacing them with references to “health care.”</w:t>
      </w:r>
    </w:p>
    <w:p w:rsidR="009A32D7" w:rsidRDefault="00D72E89">
      <w:pPr>
        <w:pStyle w:val="BodyA"/>
        <w:spacing w:line="240" w:lineRule="auto"/>
        <w:jc w:val="both"/>
      </w:pPr>
      <w:r>
        <w:t xml:space="preserve">Additionally, </w:t>
      </w:r>
      <w:r>
        <w:rPr>
          <w:rStyle w:val="None"/>
          <w:b/>
          <w:bCs/>
        </w:rPr>
        <w:t>House Bill 1279</w:t>
      </w:r>
      <w:r>
        <w:t xml:space="preserve"> relates to jury instructions regarding parole eligibility when dealing with defendants convicted of PC §71.02, </w:t>
      </w:r>
      <w:r>
        <w:rPr>
          <w:rStyle w:val="None"/>
          <w:i/>
          <w:iCs/>
        </w:rPr>
        <w:t>Engaging in Organized Criminal Activity</w:t>
      </w:r>
      <w:r>
        <w:t>. Section (a) states the defendant will not become eligible for parole until the actual time served equals one-half of the sentence imposed or 30 years, whichever is less. Section (b) states that during the penalty phase of the trial establishing punishment, the jury can use the enhancement of prior convictions</w:t>
      </w:r>
      <w:r>
        <w:rPr>
          <w:rStyle w:val="None"/>
          <w:vertAlign w:val="superscript"/>
        </w:rPr>
        <w:footnoteReference w:id="18"/>
      </w:r>
      <w:r>
        <w:t xml:space="preserve"> and section (c) defines early parole eligibility and details how a prisoner could have good conduct time taken away due to misconduct while incarcerated.  The defendant ultimately will not become eligible for parole until the actual time served plus any good conduct time earned equals one-fourth of the sentence imposed and eligibility for parole does not guarantee that parole will be granted.</w:t>
      </w:r>
    </w:p>
    <w:p w:rsidR="009A32D7" w:rsidRDefault="00D72E89">
      <w:pPr>
        <w:pStyle w:val="BodyA"/>
        <w:spacing w:line="240" w:lineRule="auto"/>
        <w:jc w:val="both"/>
      </w:pPr>
      <w:r>
        <w:rPr>
          <w:rStyle w:val="None"/>
          <w:b/>
          <w:bCs/>
        </w:rPr>
        <w:t xml:space="preserve">Art. 38.01, TEXAS FORENSIC SCIENCE COMMISSION [SB284]: </w:t>
      </w:r>
      <w:r>
        <w:t xml:space="preserve">Senate Bill 284 amends the CCP to require the </w:t>
      </w:r>
      <w:hyperlink r:id="rId24" w:history="1">
        <w:r>
          <w:rPr>
            <w:rStyle w:val="Hyperlink1"/>
          </w:rPr>
          <w:t>Texas Forensic Science Commission</w:t>
        </w:r>
      </w:hyperlink>
      <w:r>
        <w:t xml:space="preserve"> to give written notice to the license holder, by certified mail, of a determination that a licensed forensic analyst has committed professional misconduct and to authorize the license holder to request a hearing by submitting a written request to the Judicial Branch Certification Commission. Absent a hearing request, the disciplinary action becomes final and not subject to review.</w:t>
      </w:r>
    </w:p>
    <w:p w:rsidR="009A32D7" w:rsidRDefault="00D72E89">
      <w:pPr>
        <w:pStyle w:val="BodyA"/>
        <w:spacing w:line="240" w:lineRule="auto"/>
        <w:jc w:val="both"/>
        <w:rPr>
          <w:rStyle w:val="None"/>
          <w:b/>
          <w:bCs/>
        </w:rPr>
      </w:pPr>
      <w:r>
        <w:rPr>
          <w:rStyle w:val="None"/>
          <w:b/>
          <w:bCs/>
        </w:rPr>
        <w:t xml:space="preserve">Art. 38.076, TESTIMONY OF FORENSIC ANALYST BY VIDEO TELECONFERENCE [SB1125]: </w:t>
      </w:r>
      <w:r>
        <w:t>Senate Bill 1125 amends the CCP by creating this new article, which authorizes the testimony of a forensic analyst in a criminal prosecution proceeding to be conducted by video teleconferencing under certain conditions.</w:t>
      </w:r>
    </w:p>
    <w:p w:rsidR="009A32D7" w:rsidRDefault="00D72E89">
      <w:pPr>
        <w:pStyle w:val="BodyA"/>
        <w:spacing w:line="240" w:lineRule="auto"/>
        <w:jc w:val="both"/>
      </w:pPr>
      <w:r>
        <w:rPr>
          <w:rStyle w:val="None"/>
          <w:b/>
          <w:bCs/>
        </w:rPr>
        <w:t xml:space="preserve">Art. 38.19, INTENT TO DEFRAUD; CERTAIN OFFENSES [HB2624]: </w:t>
      </w:r>
      <w:r>
        <w:t xml:space="preserve">This bill removes the “intent to defraud [a specific person]” requirement from certain offenses (PC §§32.21, </w:t>
      </w:r>
      <w:r>
        <w:rPr>
          <w:rStyle w:val="None"/>
          <w:i/>
          <w:iCs/>
        </w:rPr>
        <w:t>Forgery</w:t>
      </w:r>
      <w:r>
        <w:t xml:space="preserve">; 32.31, </w:t>
      </w:r>
      <w:r>
        <w:rPr>
          <w:rStyle w:val="None"/>
          <w:i/>
          <w:iCs/>
        </w:rPr>
        <w:t>Credit Card or Debit Card Abuse</w:t>
      </w:r>
      <w:r>
        <w:t xml:space="preserve">; and 32.51, </w:t>
      </w:r>
      <w:r>
        <w:rPr>
          <w:rStyle w:val="None"/>
          <w:i/>
          <w:iCs/>
        </w:rPr>
        <w:t>Fraudulent Use or Possession of Identifying Information</w:t>
      </w:r>
      <w:r>
        <w:t>), requiring that the act intended to defraud, by its very nature, “any entity.”</w:t>
      </w:r>
    </w:p>
    <w:p w:rsidR="009A32D7" w:rsidRDefault="00D72E89">
      <w:pPr>
        <w:pStyle w:val="BodyA"/>
        <w:spacing w:line="240" w:lineRule="auto"/>
        <w:jc w:val="both"/>
      </w:pPr>
      <w:r>
        <w:rPr>
          <w:rStyle w:val="None"/>
          <w:b/>
          <w:bCs/>
        </w:rPr>
        <w:t xml:space="preserve">Art. 38.371, EVIDENCE IN PROSECUTION OF OFFENSE COMMITTED AGAINST MEMBER OF DEFENDANT’S FAMILY OR HOUSEHOLD OR PERSON IN DATING RELATIONSHIP WITH DEFENDANT [SB2136]: </w:t>
      </w:r>
      <w:r>
        <w:t>Senate Bill 2136 expands the ability of prosecutors to submit extraneous offenses when dealing with F/V cases. “Other similar conduct” may be admitted to show the defendant’s “knowledge or intent” in commission of elements of the offense.</w:t>
      </w:r>
    </w:p>
    <w:p w:rsidR="009A32D7" w:rsidRDefault="00D72E89">
      <w:pPr>
        <w:pStyle w:val="BodyA"/>
        <w:spacing w:line="240" w:lineRule="auto"/>
        <w:jc w:val="both"/>
      </w:pPr>
      <w:r>
        <w:rPr>
          <w:rStyle w:val="None"/>
          <w:b/>
          <w:bCs/>
        </w:rPr>
        <w:t>Art. 42A.102 ELIGIBILITY FOR DEFERRED ADJUDICATION COMMUNITY SUPERVISION [HB2758 and HB3582]:</w:t>
      </w:r>
      <w:r>
        <w:t xml:space="preserve"> House Bill 2758</w:t>
      </w:r>
      <w:r>
        <w:rPr>
          <w:rStyle w:val="None"/>
          <w:b/>
          <w:bCs/>
        </w:rPr>
        <w:t xml:space="preserve"> </w:t>
      </w:r>
      <w:r>
        <w:t xml:space="preserve">expanded the list of offenses </w:t>
      </w:r>
      <w:r>
        <w:rPr>
          <w:rStyle w:val="None"/>
          <w:u w:val="single"/>
        </w:rPr>
        <w:t>not</w:t>
      </w:r>
      <w:r>
        <w:t xml:space="preserve"> eligible for deferred adjudication to include PC §§20A.02, </w:t>
      </w:r>
      <w:r>
        <w:rPr>
          <w:rStyle w:val="None"/>
          <w:i/>
          <w:iCs/>
        </w:rPr>
        <w:t>Trafficking of Persons</w:t>
      </w:r>
      <w:r>
        <w:t>; PC 20A.03, C</w:t>
      </w:r>
      <w:r>
        <w:rPr>
          <w:rStyle w:val="None"/>
          <w:i/>
          <w:iCs/>
        </w:rPr>
        <w:t>ontinuous Trafficking of Persons</w:t>
      </w:r>
      <w:r>
        <w:t xml:space="preserve">; and second offenses of PC §§43.04, </w:t>
      </w:r>
      <w:r>
        <w:rPr>
          <w:rStyle w:val="None"/>
          <w:i/>
          <w:iCs/>
        </w:rPr>
        <w:t>Aggravated Promotion of Prostitution</w:t>
      </w:r>
      <w:r>
        <w:t xml:space="preserve">, and PC 43.05, </w:t>
      </w:r>
      <w:r>
        <w:rPr>
          <w:rStyle w:val="None"/>
          <w:i/>
          <w:iCs/>
        </w:rPr>
        <w:t>Compelling Prostitution</w:t>
      </w:r>
      <w:r>
        <w:t>.</w:t>
      </w:r>
    </w:p>
    <w:p w:rsidR="009A32D7" w:rsidRDefault="00D72E89">
      <w:pPr>
        <w:pStyle w:val="BodyA"/>
        <w:spacing w:line="240" w:lineRule="auto"/>
        <w:jc w:val="both"/>
      </w:pPr>
      <w:r>
        <w:t>House Bill 3582</w:t>
      </w:r>
      <w:r>
        <w:rPr>
          <w:rStyle w:val="None"/>
          <w:b/>
          <w:bCs/>
        </w:rPr>
        <w:t xml:space="preserve"> </w:t>
      </w:r>
      <w:r>
        <w:t xml:space="preserve">now </w:t>
      </w:r>
      <w:r>
        <w:rPr>
          <w:rStyle w:val="None"/>
          <w:u w:val="single"/>
        </w:rPr>
        <w:t>allows</w:t>
      </w:r>
      <w:r>
        <w:t xml:space="preserve"> deferred adjudication for DWI/BWI unless the defendant had a CDL; a BAC of 0.15 at the time of the commission of the offense; or if the defendant had a prior DWI-related conviction The defendant must be ordered to install interlock and a deferred may be used for enhancement of later DWI offenses..</w:t>
      </w:r>
    </w:p>
    <w:p w:rsidR="009A32D7" w:rsidRDefault="00D72E89">
      <w:pPr>
        <w:pStyle w:val="BodyA"/>
        <w:spacing w:line="240" w:lineRule="auto"/>
        <w:jc w:val="both"/>
      </w:pPr>
      <w:r>
        <w:rPr>
          <w:rStyle w:val="None"/>
          <w:b/>
          <w:bCs/>
        </w:rPr>
        <w:t xml:space="preserve">Art. 42A.352, DNA SAMPLE; also, Government Code 411.1471, DNA RECORDS OF PERSONS ARRESTED FOR OR CONVICTED OF CERTAIN OFFENSES [HB1399]: </w:t>
      </w:r>
      <w:r>
        <w:t xml:space="preserve">House Bill 1399, the Krystal Jean Baker Act, states that all defendants </w:t>
      </w:r>
      <w:r>
        <w:rPr>
          <w:rStyle w:val="None"/>
          <w:b/>
          <w:bCs/>
        </w:rPr>
        <w:t>arrested for</w:t>
      </w:r>
      <w:r>
        <w:t xml:space="preserve"> any of the offenses specified in GC §411.1471 (as opposed to being </w:t>
      </w:r>
      <w:r>
        <w:rPr>
          <w:rStyle w:val="None"/>
          <w:b/>
          <w:bCs/>
        </w:rPr>
        <w:t>convicted of</w:t>
      </w:r>
      <w:r>
        <w:t xml:space="preserve"> those offenses) must provide a DNA specimen. The act also adds several offenses to the list of charges that will trigger this requirement. The new charges are: </w:t>
      </w:r>
      <w:r>
        <w:rPr>
          <w:rStyle w:val="None"/>
          <w:i/>
          <w:iCs/>
        </w:rPr>
        <w:t>Murder</w:t>
      </w:r>
      <w:r>
        <w:t>;</w:t>
      </w:r>
      <w:r>
        <w:rPr>
          <w:rStyle w:val="None"/>
          <w:i/>
          <w:iCs/>
        </w:rPr>
        <w:t xml:space="preserve"> Capital Murder</w:t>
      </w:r>
      <w:r>
        <w:t>;</w:t>
      </w:r>
      <w:r>
        <w:rPr>
          <w:rStyle w:val="None"/>
          <w:i/>
          <w:iCs/>
        </w:rPr>
        <w:t xml:space="preserve"> Kidnapping</w:t>
      </w:r>
      <w:r>
        <w:t>;</w:t>
      </w:r>
      <w:r>
        <w:rPr>
          <w:rStyle w:val="None"/>
          <w:i/>
          <w:iCs/>
        </w:rPr>
        <w:t xml:space="preserve"> Aggravated Kidnapping</w:t>
      </w:r>
      <w:r>
        <w:t>;</w:t>
      </w:r>
      <w:r>
        <w:rPr>
          <w:rStyle w:val="None"/>
          <w:i/>
          <w:iCs/>
        </w:rPr>
        <w:t xml:space="preserve"> Smuggling of Persons</w:t>
      </w:r>
      <w:r>
        <w:t>;</w:t>
      </w:r>
      <w:r>
        <w:rPr>
          <w:rStyle w:val="None"/>
          <w:i/>
          <w:iCs/>
        </w:rPr>
        <w:t xml:space="preserve"> Trafficking of Persons</w:t>
      </w:r>
      <w:r>
        <w:t>;</w:t>
      </w:r>
      <w:r>
        <w:rPr>
          <w:rStyle w:val="None"/>
          <w:i/>
          <w:iCs/>
        </w:rPr>
        <w:t xml:space="preserve"> Assault</w:t>
      </w:r>
      <w:r>
        <w:t>;</w:t>
      </w:r>
      <w:r>
        <w:rPr>
          <w:rStyle w:val="None"/>
          <w:i/>
          <w:iCs/>
        </w:rPr>
        <w:t xml:space="preserve"> Aggravated Assault</w:t>
      </w:r>
      <w:r>
        <w:t>;</w:t>
      </w:r>
      <w:r>
        <w:rPr>
          <w:rStyle w:val="None"/>
          <w:i/>
          <w:iCs/>
        </w:rPr>
        <w:t xml:space="preserve"> Robbery</w:t>
      </w:r>
      <w:r>
        <w:t>;</w:t>
      </w:r>
      <w:r>
        <w:rPr>
          <w:rStyle w:val="None"/>
          <w:i/>
          <w:iCs/>
        </w:rPr>
        <w:t xml:space="preserve"> Aggravated Robbery</w:t>
      </w:r>
      <w:r>
        <w:t>;</w:t>
      </w:r>
      <w:r>
        <w:rPr>
          <w:rStyle w:val="None"/>
          <w:i/>
          <w:iCs/>
        </w:rPr>
        <w:t xml:space="preserve"> Burglary</w:t>
      </w:r>
      <w:r>
        <w:t>;</w:t>
      </w:r>
      <w:r>
        <w:rPr>
          <w:rStyle w:val="None"/>
          <w:i/>
          <w:iCs/>
        </w:rPr>
        <w:t xml:space="preserve"> Theft</w:t>
      </w:r>
      <w:r>
        <w:t>;</w:t>
      </w:r>
      <w:r>
        <w:rPr>
          <w:rStyle w:val="None"/>
          <w:i/>
          <w:iCs/>
        </w:rPr>
        <w:t xml:space="preserve"> Promotion of Prostitution</w:t>
      </w:r>
      <w:r>
        <w:t>;</w:t>
      </w:r>
      <w:r>
        <w:rPr>
          <w:rStyle w:val="None"/>
          <w:i/>
          <w:iCs/>
        </w:rPr>
        <w:t xml:space="preserve"> and Aggravated Promotion of Prostitution</w:t>
      </w:r>
      <w:r>
        <w:t>.</w:t>
      </w:r>
    </w:p>
    <w:p w:rsidR="009A32D7" w:rsidRDefault="00D72E89">
      <w:pPr>
        <w:pStyle w:val="BodyA"/>
        <w:spacing w:line="240" w:lineRule="auto"/>
        <w:jc w:val="both"/>
      </w:pPr>
      <w:r>
        <w:rPr>
          <w:rStyle w:val="None"/>
          <w:b/>
          <w:bCs/>
        </w:rPr>
        <w:t>Art. 42A.381, VETERANS REEMPLOYMENT PROGRAM [HB714]:</w:t>
      </w:r>
      <w:r>
        <w:t xml:space="preserve"> House Bill 714 amends the Code of Criminal Procedure, Government Code, and Labor Code to make a defendant who is a veteran of the U.S. armed forces and placed on community supervision for a misdemeanor offense eligible to participate in a veterans reemployment program. The bill sets out the content of the workplace skills training program, which must be developed or approved by the Texas Workforce Commission, and program completion criteria. The bill requires the court, on a defendant's successful completion of the program and after all other conditions of community supervision are met, to enter an order of nondisclosure with respect to all records of the offense for which the defendant was placed on community supervision. </w:t>
      </w:r>
      <w:r>
        <w:rPr>
          <w:rStyle w:val="None"/>
          <w:shd w:val="clear" w:color="auto" w:fill="FFFF00"/>
        </w:rPr>
        <w:t xml:space="preserve">Note that this law went into effect when the Governor signed it on </w:t>
      </w:r>
      <w:r>
        <w:rPr>
          <w:rStyle w:val="None"/>
          <w:b/>
          <w:bCs/>
          <w:u w:val="single"/>
          <w:shd w:val="clear" w:color="auto" w:fill="FFFF00"/>
        </w:rPr>
        <w:t>June 2, 2019</w:t>
      </w:r>
      <w:r>
        <w:rPr>
          <w:rStyle w:val="None"/>
          <w:shd w:val="clear" w:color="auto" w:fill="FFFF00"/>
        </w:rPr>
        <w:t>.</w:t>
      </w:r>
    </w:p>
    <w:p w:rsidR="009A32D7" w:rsidRDefault="00D72E89">
      <w:pPr>
        <w:pStyle w:val="BodyA"/>
        <w:spacing w:line="240" w:lineRule="auto"/>
        <w:jc w:val="both"/>
        <w:rPr>
          <w:rStyle w:val="None"/>
          <w:b/>
          <w:bCs/>
        </w:rPr>
      </w:pPr>
      <w:r>
        <w:rPr>
          <w:rStyle w:val="None"/>
          <w:b/>
          <w:bCs/>
        </w:rPr>
        <w:t>42A.515, COMMUNITY SUPERVISION FOR LEAVING SCENE OF MOTOR VEHICLE ACCIDENT RESULTING IN DEATH OF PERSON [HB2502]:</w:t>
      </w:r>
      <w:r>
        <w:t xml:space="preserve"> House Bill 2502 provides for a mandatory term of confinement for a person convicted for </w:t>
      </w:r>
      <w:r>
        <w:rPr>
          <w:rStyle w:val="None"/>
          <w:i/>
          <w:iCs/>
        </w:rPr>
        <w:t>Fail to Stop and Render Aid</w:t>
      </w:r>
      <w:r>
        <w:t xml:space="preserve"> involving the death of a person. This bill amends Subchapter K, Chapter 42A, Code of Criminal Procedure, by creating Art. 42A.515. Under this new article, a judge granting community supervision to a defendant convicted of FSRA involving a death shall </w:t>
      </w:r>
      <w:r>
        <w:rPr>
          <w:rStyle w:val="None"/>
          <w:u w:val="single"/>
        </w:rPr>
        <w:t>require</w:t>
      </w:r>
      <w:r>
        <w:t>, as a condition of community supervision, that the defendant submit to a term of confinement not less than120 days.</w:t>
      </w:r>
    </w:p>
    <w:p w:rsidR="009A32D7" w:rsidRDefault="00D72E89">
      <w:pPr>
        <w:pStyle w:val="BodyA"/>
        <w:spacing w:line="240" w:lineRule="auto"/>
        <w:jc w:val="both"/>
      </w:pPr>
      <w:r>
        <w:rPr>
          <w:rStyle w:val="None"/>
          <w:b/>
          <w:bCs/>
        </w:rPr>
        <w:t xml:space="preserve">42A.515, COMMUNITY SUPERVISION FOR CERTAIN PROSTITUTION OFFENSES [SB20]: </w:t>
      </w:r>
      <w:r>
        <w:t>Requires mandatory probation for “seller” prostitution offenses and requires specific probation instructions. This change does not apply to sentences imposed by a jury.</w:t>
      </w:r>
    </w:p>
    <w:p w:rsidR="009A32D7" w:rsidRDefault="00D72E89">
      <w:pPr>
        <w:pStyle w:val="BodyA"/>
        <w:spacing w:line="240" w:lineRule="auto"/>
        <w:jc w:val="both"/>
      </w:pPr>
      <w:r>
        <w:rPr>
          <w:rStyle w:val="None"/>
          <w:b/>
          <w:bCs/>
        </w:rPr>
        <w:t xml:space="preserve">Art. 42.018, NOTICE PROVIDED BY CLERK OF COURT [SB1230]: </w:t>
      </w:r>
      <w:r>
        <w:t xml:space="preserve">This change adds a requirement that the court clerk provide written notice, within five days of conviction, to the administrative head of a </w:t>
      </w:r>
      <w:r>
        <w:rPr>
          <w:rStyle w:val="None"/>
          <w:b/>
          <w:bCs/>
          <w:u w:val="single"/>
        </w:rPr>
        <w:t>private</w:t>
      </w:r>
      <w:r>
        <w:t xml:space="preserve"> school that employs a defendant convicted of certain sex offenses that trigger the notice requirement. This bill also makes several changes to the Education Code to prevent private schools from “passing the trash” when a disgraced educator leaves one institution and tries to go to another.</w:t>
      </w:r>
    </w:p>
    <w:p w:rsidR="009A32D7" w:rsidRDefault="00D72E89">
      <w:pPr>
        <w:pStyle w:val="BodyA"/>
        <w:spacing w:line="240" w:lineRule="auto"/>
        <w:jc w:val="both"/>
      </w:pPr>
      <w:r>
        <w:rPr>
          <w:rStyle w:val="None"/>
          <w:b/>
          <w:bCs/>
        </w:rPr>
        <w:t>Art. 42.09, COMMENCEMENT OF SENTENCE;  STATUS DURING APPEAL;  PEN PACKET [SB562]:</w:t>
      </w:r>
      <w:r>
        <w:t xml:space="preserve"> Senate Bill 562 amends the Code of Criminal Procedure, Government Code, and Health and Safety Code to revise provisions relating to the commitment of a defendant who is incompetent to stand trial or who is acquitted by reason of insanity. Among other provisions, the bill </w:t>
      </w:r>
      <w:r>
        <w:rPr>
          <w:rStyle w:val="None"/>
          <w:u w:val="single"/>
        </w:rPr>
        <w:t>removes</w:t>
      </w:r>
      <w:r>
        <w:t xml:space="preserve"> the condition on the commitment of certain defendants that such commitment must be to a maximum-security unit. The bill provides for an assessment of whether a defendant committed to a maximum-security unit by the Health and Human Services Commission is “manifestly dangerous,” and for the transfer of a defendant who is determined not to be manifestly dangerous to a non</w:t>
      </w:r>
      <w:r>
        <w:rPr>
          <w:rStyle w:val="None"/>
          <w:rFonts w:ascii="Cambria Math" w:eastAsia="Cambria Math" w:hAnsi="Cambria Math" w:cs="Cambria Math"/>
        </w:rPr>
        <w:t>‑</w:t>
      </w:r>
      <w:r>
        <w:t>maximum-security facility.</w:t>
      </w:r>
    </w:p>
    <w:p w:rsidR="009A32D7" w:rsidRDefault="00D72E89">
      <w:pPr>
        <w:pStyle w:val="BodyA"/>
        <w:spacing w:line="240" w:lineRule="auto"/>
        <w:jc w:val="both"/>
      </w:pPr>
      <w:r>
        <w:t xml:space="preserve">The bill further requires each commissioners court of a county with a population of &gt;200,000 to establish a mental health court program in accordance with certain provisions governing specialty courts, subject to certain funding and verification, and authorizes the commissioners courts of two or more counties to choose to establish a mental health court program for the participating counties. The bill provides for the expunction of criminal records of a person who completes a mental health court program and meets other conditions. </w:t>
      </w:r>
      <w:r>
        <w:rPr>
          <w:rStyle w:val="None"/>
          <w:shd w:val="clear" w:color="auto" w:fill="FFFF00"/>
        </w:rPr>
        <w:t xml:space="preserve">Note that this law went into effect when the Governor signed it on </w:t>
      </w:r>
      <w:r>
        <w:rPr>
          <w:rStyle w:val="None"/>
          <w:b/>
          <w:bCs/>
          <w:u w:val="single"/>
          <w:shd w:val="clear" w:color="auto" w:fill="FFFF00"/>
        </w:rPr>
        <w:t>June 14, 2019</w:t>
      </w:r>
      <w:r>
        <w:rPr>
          <w:rStyle w:val="None"/>
          <w:shd w:val="clear" w:color="auto" w:fill="FFFF00"/>
        </w:rPr>
        <w:t>.</w:t>
      </w:r>
    </w:p>
    <w:p w:rsidR="009A32D7" w:rsidRDefault="00D72E89">
      <w:pPr>
        <w:pStyle w:val="BodyA"/>
        <w:spacing w:line="240" w:lineRule="auto"/>
        <w:jc w:val="both"/>
      </w:pPr>
      <w:r>
        <w:rPr>
          <w:rStyle w:val="None"/>
          <w:b/>
          <w:bCs/>
        </w:rPr>
        <w:t xml:space="preserve">Art. 43.13, DISCHARGE OF DEFENDANT [SB1700]: </w:t>
      </w:r>
      <w:r>
        <w:t>Senate Bill 1700 amends the Code of Criminal Procedure to establish a uniform time period for a defendant's release from county jail</w:t>
      </w:r>
      <w:r>
        <w:rPr>
          <w:rStyle w:val="None"/>
          <w:vertAlign w:val="superscript"/>
        </w:rPr>
        <w:footnoteReference w:id="19"/>
      </w:r>
      <w:r>
        <w:t xml:space="preserve"> on the day the defendant discharges the sentence but to provide for the authority of a sheriff or other county jail administrator to release a defendant at times outside of that period or on the day preceding the discharge day under certain conditions. The bill amends the Government Code to authorize the Commission on Jail Standards to monitor compliance with statutory provisions relating to the release of a prisoner from county jail.</w:t>
      </w:r>
    </w:p>
    <w:p w:rsidR="009A32D7" w:rsidRDefault="00D72E89">
      <w:pPr>
        <w:pStyle w:val="BodyA"/>
        <w:spacing w:line="240" w:lineRule="auto"/>
        <w:jc w:val="both"/>
        <w:rPr>
          <w:rStyle w:val="None"/>
          <w:b/>
          <w:bCs/>
        </w:rPr>
      </w:pPr>
      <w:r>
        <w:rPr>
          <w:rStyle w:val="None"/>
          <w:b/>
          <w:bCs/>
        </w:rPr>
        <w:t>Art. 49.15, INQUEST RECORD [HB300]:</w:t>
      </w:r>
      <w:r>
        <w:t xml:space="preserve"> House Bill 300 amends the Code of Criminal Procedure to remove the requirement for a justice of the peace to deliver to the district clerk for safekeeping evidence accumulated in the course of an inquest that tends to show the real cause of death or identify the person who caused the death. The justice shall now deposit the evidence with the appropriate </w:t>
      </w:r>
      <w:r>
        <w:rPr>
          <w:rStyle w:val="None"/>
          <w:i/>
          <w:iCs/>
        </w:rPr>
        <w:t>law enforcement agency</w:t>
      </w:r>
      <w:r>
        <w:t xml:space="preserve"> to be stored in the agency’s property room for safekeeping. The bill repeals a provision requiring the certification and delivery of a copy of an inquest summary report by a justice of the peace and its retention by a district clerk. </w:t>
      </w:r>
      <w:r>
        <w:rPr>
          <w:rStyle w:val="None"/>
          <w:shd w:val="clear" w:color="auto" w:fill="FFFF00"/>
        </w:rPr>
        <w:t xml:space="preserve">Note that this law went into effect when the Governor signed it on </w:t>
      </w:r>
      <w:r>
        <w:rPr>
          <w:rStyle w:val="None"/>
          <w:b/>
          <w:bCs/>
          <w:u w:val="single"/>
          <w:shd w:val="clear" w:color="auto" w:fill="FFFF00"/>
        </w:rPr>
        <w:t>June 10, 2019</w:t>
      </w:r>
      <w:r>
        <w:rPr>
          <w:rStyle w:val="None"/>
          <w:shd w:val="clear" w:color="auto" w:fill="FFFF00"/>
        </w:rPr>
        <w:t>.</w:t>
      </w:r>
    </w:p>
    <w:p w:rsidR="009A32D7" w:rsidRDefault="00D72E89">
      <w:pPr>
        <w:pStyle w:val="BodyA"/>
        <w:spacing w:line="240" w:lineRule="auto"/>
        <w:jc w:val="both"/>
        <w:rPr>
          <w:rStyle w:val="None"/>
          <w:b/>
          <w:bCs/>
        </w:rPr>
      </w:pPr>
      <w:r>
        <w:rPr>
          <w:rStyle w:val="None"/>
          <w:b/>
          <w:bCs/>
        </w:rPr>
        <w:t xml:space="preserve">Art. 49.25, MEDICAL EXAMINERS [HB3716]: </w:t>
      </w:r>
      <w:r>
        <w:t xml:space="preserve">Previous law required the commissioners court of a county with a population of more than one million and without a reputable medical school to establish and maintain a medical examiner's office. House Bill 3716 amends the Code of Criminal Procedure to </w:t>
      </w:r>
      <w:r>
        <w:rPr>
          <w:rStyle w:val="None"/>
          <w:u w:val="single"/>
        </w:rPr>
        <w:t>require</w:t>
      </w:r>
      <w:r>
        <w:t xml:space="preserve"> the commissioners court of a county with a population of more than two million to do so, regardless of whether the county has a reputable medical school.</w:t>
      </w:r>
    </w:p>
    <w:p w:rsidR="009A32D7" w:rsidRDefault="00D72E89">
      <w:pPr>
        <w:pStyle w:val="BodyA"/>
        <w:spacing w:line="240" w:lineRule="auto"/>
        <w:jc w:val="both"/>
      </w:pPr>
      <w:r>
        <w:rPr>
          <w:rStyle w:val="None"/>
          <w:b/>
          <w:bCs/>
        </w:rPr>
        <w:t xml:space="preserve">49.52, PARENTAL RIGHT TO VIEW DECEASED CHILD [HB881]: </w:t>
      </w:r>
      <w:r>
        <w:t>Extends the right of parents to view the deceased body of their child regardless of the age of the decedent.</w:t>
      </w:r>
    </w:p>
    <w:p w:rsidR="009A32D7" w:rsidRDefault="00D72E89">
      <w:pPr>
        <w:pStyle w:val="BodyA"/>
        <w:spacing w:line="240" w:lineRule="auto"/>
        <w:jc w:val="both"/>
      </w:pPr>
      <w:r>
        <w:rPr>
          <w:rStyle w:val="None"/>
          <w:b/>
          <w:bCs/>
        </w:rPr>
        <w:t>Art. 56.06, FORENSIC MEDICAL EXAMINATION FOR SEXUAL ASSAULT VICTIM WHO HAS REPORTED ASSAULT; COSTS [HB616]:</w:t>
      </w:r>
      <w:r>
        <w:t xml:space="preserve"> This bill creates procedures for direct-billing of sexual assault examinations by medical facilities and expands the time for sexual assault kits to be allowed to within 120 hours of the assault. Lastly, this update now requires agencies to document for the OAG whether or not an exam was requested.</w:t>
      </w:r>
    </w:p>
    <w:p w:rsidR="009A32D7" w:rsidRDefault="00D72E89">
      <w:pPr>
        <w:pStyle w:val="BodyA"/>
        <w:spacing w:line="240" w:lineRule="auto"/>
        <w:jc w:val="both"/>
      </w:pPr>
      <w:r>
        <w:rPr>
          <w:rStyle w:val="None"/>
          <w:b/>
          <w:bCs/>
        </w:rPr>
        <w:t>56.065, MEDICAL EXAMINATION FROM SEXUAL ASSAULT VICTIM WHO HAS NOT REPORTED ASSAULT; COSTS [HB616]:</w:t>
      </w:r>
      <w:r>
        <w:t xml:space="preserve"> House Bill 616 creates procedures for direct-billing of sexual assault examinations by medical facilities. The bill also expands the time for sexual assault kits to be allowed to within 120 hours of the assault. Requires agencies to document for the OAG whether or not an exam was requested</w:t>
      </w:r>
    </w:p>
    <w:p w:rsidR="009A32D7" w:rsidRDefault="00D72E89">
      <w:pPr>
        <w:pStyle w:val="BodyA"/>
        <w:spacing w:line="240" w:lineRule="auto"/>
        <w:jc w:val="both"/>
      </w:pPr>
      <w:r>
        <w:rPr>
          <w:rStyle w:val="None"/>
          <w:b/>
          <w:bCs/>
        </w:rPr>
        <w:t>Art. 59.01, FORFEITURE OF CONTRABAND [HB2613]:</w:t>
      </w:r>
      <w:r>
        <w:t xml:space="preserve"> House Bill 2613 amends this section by adding to the definition of “contraband,” any property used in the commission of: </w:t>
      </w:r>
    </w:p>
    <w:p w:rsidR="009A32D7" w:rsidRDefault="00D72E89">
      <w:pPr>
        <w:pStyle w:val="BodyA"/>
        <w:spacing w:line="240" w:lineRule="auto"/>
        <w:ind w:left="720"/>
        <w:jc w:val="both"/>
      </w:pPr>
      <w:r>
        <w:t>(iii) any felony under Chapter 43 [Public Indecency], Penal Code, except as provided by Paragraph (B)[.]</w:t>
      </w:r>
    </w:p>
    <w:p w:rsidR="009A32D7" w:rsidRDefault="00D72E89">
      <w:pPr>
        <w:pStyle w:val="BodyA"/>
        <w:spacing w:line="240" w:lineRule="auto"/>
        <w:jc w:val="both"/>
      </w:pPr>
      <w:r>
        <w:t>As well as any property used or intended to be used in the commission of:</w:t>
      </w:r>
    </w:p>
    <w:p w:rsidR="009A32D7" w:rsidRDefault="00D72E89">
      <w:pPr>
        <w:pStyle w:val="BodyA"/>
        <w:spacing w:line="240" w:lineRule="auto"/>
        <w:ind w:left="720"/>
        <w:jc w:val="both"/>
      </w:pPr>
      <w:r>
        <w:t>(xii) any offense under Section 20.05 [Smuggling of Persons], 20.06 [Continuous Smuggling of Persons], 20.07 [the new Operation of Stash House], 43.04 [Aggravated Promotion of Prostitution], or 43.05 [Compelling Prostitution], Penal Code.</w:t>
      </w:r>
    </w:p>
    <w:p w:rsidR="009A32D7" w:rsidRDefault="00D72E89">
      <w:pPr>
        <w:pStyle w:val="BodyA"/>
        <w:spacing w:line="240" w:lineRule="auto"/>
        <w:jc w:val="both"/>
        <w:rPr>
          <w:rStyle w:val="None"/>
          <w:b/>
          <w:bCs/>
        </w:rPr>
      </w:pPr>
      <w:r>
        <w:rPr>
          <w:rStyle w:val="None"/>
          <w:b/>
          <w:bCs/>
        </w:rPr>
        <w:t xml:space="preserve">Art. 59.01, FORFEITURE OF CONTRABAND [HB2894]: </w:t>
      </w:r>
      <w:r>
        <w:t xml:space="preserve">House Bill 2894 removes the reference to “Medicaid” and replaces it with “health care.” </w:t>
      </w:r>
      <w:r>
        <w:rPr>
          <w:rStyle w:val="None"/>
          <w:b/>
          <w:bCs/>
        </w:rPr>
        <w:t xml:space="preserve"> </w:t>
      </w:r>
    </w:p>
    <w:p w:rsidR="009A32D7" w:rsidRDefault="00D72E89">
      <w:pPr>
        <w:pStyle w:val="BodyA"/>
        <w:spacing w:line="240" w:lineRule="auto"/>
        <w:jc w:val="both"/>
      </w:pPr>
      <w:r>
        <w:rPr>
          <w:rStyle w:val="None"/>
          <w:b/>
          <w:bCs/>
        </w:rPr>
        <w:t>Art. 59.06, DISPOSITION OF FORFEITED PROPERTY [HB2613]:</w:t>
      </w:r>
      <w:r>
        <w:t xml:space="preserve"> House Bill 2613 amends this section by adding Subsection (t), which states:</w:t>
      </w:r>
    </w:p>
    <w:p w:rsidR="009A32D7" w:rsidRDefault="00D72E89">
      <w:pPr>
        <w:pStyle w:val="BodyA"/>
        <w:spacing w:line="240" w:lineRule="auto"/>
        <w:jc w:val="both"/>
      </w:pPr>
      <w:r>
        <w:t>(1) This subsection applies only to contraband for which forfeiture is authorized with respect to an offense under Section 20.05 [Smuggling of Persons], 20.06 [Continuous Smuggling of Persons], 20.07 [the new Operation of Stash House], 43.04 [Aggravated Promotion of Prostitution], or 43.05 [Compelling Prostitution], or Chapter 20A [Trafficking of Persons], Penal Code.</w:t>
      </w:r>
    </w:p>
    <w:p w:rsidR="009A32D7" w:rsidRDefault="00D72E89">
      <w:pPr>
        <w:pStyle w:val="BodyA"/>
        <w:spacing w:line="240" w:lineRule="auto"/>
        <w:jc w:val="both"/>
      </w:pPr>
      <w:r>
        <w:t>(2)  Notwithstanding any other provision of this article, the gross amount credited to the special fund of the office of the attorney representing the state or of a law enforcement agency under Subsection (c) from the forfeiture of contraband described by Subdivision (1) shall be:</w:t>
      </w:r>
    </w:p>
    <w:p w:rsidR="009A32D7" w:rsidRDefault="00D72E89">
      <w:pPr>
        <w:pStyle w:val="BodyA"/>
        <w:spacing w:line="240" w:lineRule="auto"/>
        <w:ind w:left="720"/>
        <w:jc w:val="both"/>
      </w:pPr>
      <w:r>
        <w:t>(A)  used to provide direct victim services by the victim services division or other similar division of the office of the attorney representing the state or of a law enforcement agency, as applicable; or</w:t>
      </w:r>
    </w:p>
    <w:p w:rsidR="009A32D7" w:rsidRDefault="00D72E89">
      <w:pPr>
        <w:pStyle w:val="BodyA"/>
        <w:spacing w:line="240" w:lineRule="auto"/>
        <w:ind w:left="720"/>
        <w:jc w:val="both"/>
      </w:pPr>
      <w:r>
        <w:t>(B)  used by the office of the attorney representing the state or of the law enforcement agency to cover the costs of a contract with a local nonprofit organization to provide direct services to crime victims.</w:t>
      </w:r>
    </w:p>
    <w:p w:rsidR="009A32D7" w:rsidRDefault="00D72E89">
      <w:pPr>
        <w:pStyle w:val="BodyA"/>
        <w:spacing w:line="240" w:lineRule="auto"/>
        <w:jc w:val="both"/>
      </w:pPr>
      <w:r>
        <w:t>(3)  An expenditure of money in the manner required by this subsection is considered to be for an official purpose of the office of the attorney representing the state or for a law enforcement purpose, as applicable.</w:t>
      </w:r>
    </w:p>
    <w:p w:rsidR="009A32D7" w:rsidRDefault="00D72E89">
      <w:pPr>
        <w:pStyle w:val="BodyA"/>
        <w:spacing w:line="240" w:lineRule="auto"/>
        <w:jc w:val="both"/>
      </w:pPr>
      <w:r>
        <w:rPr>
          <w:rStyle w:val="None"/>
          <w:b/>
          <w:bCs/>
        </w:rPr>
        <w:t xml:space="preserve">Art. 59.06, DISPOSITION OF FORFEITED PROPERTY [HB2894]. </w:t>
      </w:r>
      <w:r>
        <w:t>House Bill</w:t>
      </w:r>
      <w:r>
        <w:rPr>
          <w:rStyle w:val="None"/>
          <w:b/>
          <w:bCs/>
        </w:rPr>
        <w:t xml:space="preserve"> </w:t>
      </w:r>
      <w:r>
        <w:t>2894 amends this section by replacing references to the “commission” and the “Health and Human Services Commission” with references to the “state” and the “governmental entity administering the affected health care program.”</w:t>
      </w:r>
    </w:p>
    <w:p w:rsidR="009A32D7" w:rsidRDefault="00D72E89">
      <w:pPr>
        <w:pStyle w:val="BodyA"/>
        <w:spacing w:line="240" w:lineRule="auto"/>
        <w:jc w:val="both"/>
      </w:pPr>
      <w:r>
        <w:rPr>
          <w:rStyle w:val="None"/>
          <w:b/>
          <w:bCs/>
        </w:rPr>
        <w:t xml:space="preserve">Art. 62.001(5), DEFINITIONS [SB1802]: </w:t>
      </w:r>
      <w:r>
        <w:t>Senate Bill 1802</w:t>
      </w:r>
      <w:r>
        <w:rPr>
          <w:rStyle w:val="None"/>
          <w:b/>
          <w:bCs/>
        </w:rPr>
        <w:t xml:space="preserve"> </w:t>
      </w:r>
      <w:r>
        <w:t xml:space="preserve">added </w:t>
      </w:r>
      <w:r>
        <w:rPr>
          <w:rStyle w:val="None"/>
          <w:i/>
          <w:iCs/>
        </w:rPr>
        <w:t>Aggravated Promotion of Prostitution</w:t>
      </w:r>
      <w:r>
        <w:t xml:space="preserve"> to reportable convictions or adjudications.</w:t>
      </w:r>
    </w:p>
    <w:p w:rsidR="009A32D7" w:rsidRDefault="00D72E89">
      <w:pPr>
        <w:pStyle w:val="BodyA"/>
        <w:spacing w:line="240" w:lineRule="auto"/>
        <w:jc w:val="both"/>
      </w:pPr>
      <w:r>
        <w:rPr>
          <w:rStyle w:val="None"/>
          <w:b/>
          <w:bCs/>
        </w:rPr>
        <w:t>Art. 66.102(f), INFORMATION CONTAINED IN COMPUTERIZED CRIMINAL HISTORY SYSTEM [HB1528]:</w:t>
      </w:r>
      <w:r>
        <w:t xml:space="preserve"> House Bill 1528 amends provisions of the CCP relating to certain procedures applicable to certain offenses involving </w:t>
      </w:r>
      <w:r>
        <w:rPr>
          <w:rStyle w:val="None"/>
          <w:u w:val="single"/>
        </w:rPr>
        <w:t>family violence</w:t>
      </w:r>
      <w:r>
        <w:t>. The bill, among other provisions, requires a judge or justice of a municipal court to take the plea of a defendant charged with an offense involving family violence in open court; requires information in the CCH system relating to sentencing to include, for each sentence, whether the judgment imposing the sentence reflects an affirmative finding of family violence; and includes an offender charged with a misdemeanor punishable by fine only that involves family violence among the offenders for whom an arresting law enforcement agency is required to prepare a uniform incident fingerprint card and initiate the process of reporting applicable offender data.</w:t>
      </w:r>
    </w:p>
    <w:p w:rsidR="009A32D7" w:rsidRDefault="00D72E89">
      <w:pPr>
        <w:pStyle w:val="BodyA"/>
        <w:spacing w:line="240" w:lineRule="auto"/>
        <w:jc w:val="both"/>
      </w:pPr>
      <w:r>
        <w:t>On disposition of such a misdemeanor case, the bill requires the clerk of the court exercising jurisdiction over the case to report the applicable information regarding the person's citation or arrest and the disposition of the case to the TxDPS using the uniform incident fingerprint card or an approved electronic method.</w:t>
      </w:r>
    </w:p>
    <w:p w:rsidR="009A32D7" w:rsidRDefault="00D72E89">
      <w:pPr>
        <w:pStyle w:val="BodyA"/>
        <w:spacing w:line="240" w:lineRule="auto"/>
        <w:jc w:val="both"/>
      </w:pPr>
      <w:r>
        <w:t xml:space="preserve">Translated into simple terms, this bill requires that </w:t>
      </w:r>
      <w:r>
        <w:rPr>
          <w:rStyle w:val="None"/>
          <w:b/>
          <w:bCs/>
        </w:rPr>
        <w:t>M/C family violence convictions</w:t>
      </w:r>
      <w:r>
        <w:t xml:space="preserve"> be reported and included in CCH information.</w:t>
      </w:r>
    </w:p>
    <w:p w:rsidR="009A32D7" w:rsidRDefault="00D72E89">
      <w:pPr>
        <w:pStyle w:val="Heading"/>
      </w:pPr>
      <w:r>
        <w:t>Changes to the Texas Transportation Code</w:t>
      </w:r>
    </w:p>
    <w:p w:rsidR="009A32D7" w:rsidRDefault="00D72E89">
      <w:pPr>
        <w:pStyle w:val="BodyA"/>
        <w:spacing w:line="240" w:lineRule="auto"/>
        <w:jc w:val="both"/>
      </w:pPr>
      <w:r>
        <w:rPr>
          <w:rStyle w:val="None"/>
          <w:b/>
          <w:bCs/>
          <w:u w:val="single"/>
        </w:rPr>
        <w:t xml:space="preserve">Learning objective: </w:t>
      </w:r>
      <w:r>
        <w:t>The SWBAT Recall selected changes and updates to the Texas Transportation Code.</w:t>
      </w:r>
    </w:p>
    <w:p w:rsidR="009A32D7" w:rsidRDefault="00D72E89">
      <w:pPr>
        <w:pStyle w:val="BodyA"/>
        <w:spacing w:line="240" w:lineRule="auto"/>
        <w:jc w:val="both"/>
      </w:pPr>
      <w:r>
        <w:rPr>
          <w:rStyle w:val="None"/>
          <w:b/>
          <w:bCs/>
        </w:rPr>
        <w:t>502.0024, EXTENDED REGISTRATION OF CERTAIN VEHICLES NOT SUBJECT TO INSPECTION [HB1262]:</w:t>
      </w:r>
      <w:r>
        <w:t xml:space="preserve"> House Bill 1262 extends the registration period for certain trailers. This bill creates TRC §502.0024, which extends the registration period for up to five years for certain vehicles. The owner of the vehicle may select the number of years for registration. The section applies to a trailer, semitrailer, or pole trailer having an actual gross weight or registered gross weight of 7,500 pounds or less. </w:t>
      </w:r>
      <w:r>
        <w:rPr>
          <w:rStyle w:val="None"/>
          <w:shd w:val="clear" w:color="auto" w:fill="FFFF00"/>
        </w:rPr>
        <w:t xml:space="preserve">Note that this law went into effect when the Governor signed it on </w:t>
      </w:r>
      <w:r>
        <w:rPr>
          <w:rStyle w:val="None"/>
          <w:b/>
          <w:bCs/>
          <w:u w:val="single"/>
          <w:shd w:val="clear" w:color="auto" w:fill="FFFF00"/>
        </w:rPr>
        <w:t>June 5, 2019</w:t>
      </w:r>
      <w:r>
        <w:rPr>
          <w:rStyle w:val="None"/>
          <w:shd w:val="clear" w:color="auto" w:fill="FFFF00"/>
        </w:rPr>
        <w:t>.</w:t>
      </w:r>
    </w:p>
    <w:p w:rsidR="009A32D7" w:rsidRDefault="00D72E89">
      <w:pPr>
        <w:pStyle w:val="BodyA"/>
        <w:spacing w:line="240" w:lineRule="auto"/>
        <w:jc w:val="both"/>
      </w:pPr>
      <w:r>
        <w:rPr>
          <w:rStyle w:val="None"/>
          <w:b/>
          <w:bCs/>
        </w:rPr>
        <w:t xml:space="preserve">502.061, </w:t>
      </w:r>
      <w:r>
        <w:rPr>
          <w:rStyle w:val="None"/>
          <w:b/>
          <w:bCs/>
          <w:caps/>
        </w:rPr>
        <w:t>Registration by Owner With Condition That Impedes Effective Communication</w:t>
      </w:r>
      <w:r>
        <w:rPr>
          <w:rStyle w:val="None"/>
          <w:b/>
          <w:bCs/>
        </w:rPr>
        <w:t xml:space="preserve"> [SB976]:</w:t>
      </w:r>
      <w:r>
        <w:t xml:space="preserve"> This bill creates TRC §502.061, </w:t>
      </w:r>
      <w:r>
        <w:rPr>
          <w:rStyle w:val="None"/>
          <w:i/>
          <w:iCs/>
        </w:rPr>
        <w:t>Registration by Owner with Condition That Impedes Effective Communication</w:t>
      </w:r>
      <w:r>
        <w:t>. The Department of Motor Vehicles shall provide for an applicant to voluntarily provide any information of a condition that impedes the applicant from effectively communicating with a peace officer. The Department of Public Safety will be responsible to implement a program that alerts, through TLETS, a peace officer who makes a traffic stop, that the operator of the stopped vehicle may have a health condition or disability that may impede communication. This indication may be displayed on the plate or by other means.</w:t>
      </w:r>
    </w:p>
    <w:p w:rsidR="009A32D7" w:rsidRDefault="00D72E89">
      <w:pPr>
        <w:pStyle w:val="BodyA"/>
        <w:spacing w:line="240" w:lineRule="auto"/>
        <w:jc w:val="both"/>
      </w:pPr>
      <w:r>
        <w:rPr>
          <w:rStyle w:val="None"/>
          <w:b/>
          <w:bCs/>
        </w:rPr>
        <w:t>502.143, 541.201, 551.001, 551.106, 551.107; and Chapter 664, STANDARDS FOR ELECTRIC BICYCLES [HB2188]:</w:t>
      </w:r>
      <w:r>
        <w:t xml:space="preserve"> House Bill 2188 relates to the operation of electric and non-electric bicycles. This bill redefines a bicycle as a device that is capable of being ridden solely using human power and has two tandem wheels, at least one of which is more than 14” in diameter. Newly created TRC Chapter 664, </w:t>
      </w:r>
      <w:r>
        <w:rPr>
          <w:rStyle w:val="None"/>
          <w:i/>
          <w:iCs/>
        </w:rPr>
        <w:t>Standards for Electric Bicycles</w:t>
      </w:r>
      <w:r>
        <w:t xml:space="preserve">, redefines an electric bicycle and establishes three different classes of such. An “electric bicycle” means a bicycle that is equipped with fully functional pedals and an electric motor of fewer than 750 watts and with a top assisted speed of 28 mph or less. </w:t>
      </w:r>
    </w:p>
    <w:p w:rsidR="009A32D7" w:rsidRDefault="00D72E89">
      <w:pPr>
        <w:pStyle w:val="BodyA"/>
        <w:spacing w:line="240" w:lineRule="auto"/>
        <w:jc w:val="both"/>
      </w:pPr>
      <w:r>
        <w:t>A “</w:t>
      </w:r>
      <w:r>
        <w:rPr>
          <w:rStyle w:val="None"/>
          <w:b/>
          <w:bCs/>
        </w:rPr>
        <w:t>Class 1 electric bicycle</w:t>
      </w:r>
      <w:r>
        <w:t>” means an electric bicycle that is equipped with a motor that assists the rider only when the rider is pedaling and with a top assisted speed of 20 mph or less. A “</w:t>
      </w:r>
      <w:r>
        <w:rPr>
          <w:rStyle w:val="None"/>
          <w:b/>
          <w:bCs/>
        </w:rPr>
        <w:t>Class 2 electric bicycle</w:t>
      </w:r>
      <w:r>
        <w:t>” means an electric bicycle that is equipped with a motor that may be used to propel the bicycle without the pedaling of the rider and with a top assisted speed of 20 mph or less. A “</w:t>
      </w:r>
      <w:r>
        <w:rPr>
          <w:rStyle w:val="None"/>
          <w:b/>
          <w:bCs/>
        </w:rPr>
        <w:t>Class 3 electric bicycle</w:t>
      </w:r>
      <w:r>
        <w:t>” means an electric bicycle that is equipped with a motor that assists the rider only when the rider is pedaling and with a top speed of more than 20 but less than 28 mph.  A person who manufactures or sells a Class 3 electric bicycle shall ensure that the bicycle is equipped with a speedometer.</w:t>
      </w:r>
    </w:p>
    <w:p w:rsidR="009A32D7" w:rsidRDefault="00D72E89">
      <w:pPr>
        <w:pStyle w:val="BodyA"/>
        <w:spacing w:line="240" w:lineRule="auto"/>
        <w:jc w:val="both"/>
      </w:pPr>
      <w:r>
        <w:t>TRC §551.106(b) states a local authority may prohibit the operation of a bicycle on a sidewalk and establish speed limits for bicycles on paths set aside for the exclusive operation of bicycles and other paths on which bicycles may be operated. TRC §551.107 addresses operation of an electric bicycle. It states that a person may not operate an electric bicycle unless the electric motor disengages or ceases to function either when the operator stops pedaling or when the brakes are applied. Additionally, a person may not operate a Class 3 electric bicycle unless the person is at least 15 years of age.</w:t>
      </w:r>
    </w:p>
    <w:p w:rsidR="009A32D7" w:rsidRDefault="00D72E89">
      <w:pPr>
        <w:pStyle w:val="BodyA"/>
        <w:spacing w:line="240" w:lineRule="auto"/>
        <w:jc w:val="both"/>
      </w:pPr>
      <w:r>
        <w:rPr>
          <w:rStyle w:val="None"/>
          <w:b/>
          <w:bCs/>
        </w:rPr>
        <w:t>502.407, OPERATION OF VEHICLE WITH EXPIRED LICENSE PLATE [HB2835]:</w:t>
      </w:r>
      <w:r>
        <w:t xml:space="preserve"> House Bill 2835 creates a new defense to prosecution for displaying an expired registration if, at the time of the offense, the office of the county assessor-collector for the county in which the owner of the vehicle resides was closed for a protracted period of time and the vehicle’s registration was expired for 30 working days or fewer.</w:t>
      </w:r>
    </w:p>
    <w:p w:rsidR="009A32D7" w:rsidRDefault="00D72E89">
      <w:pPr>
        <w:pStyle w:val="BodyA"/>
        <w:spacing w:line="240" w:lineRule="auto"/>
        <w:jc w:val="both"/>
      </w:pPr>
      <w:r>
        <w:rPr>
          <w:rStyle w:val="None"/>
          <w:b/>
          <w:bCs/>
        </w:rPr>
        <w:t xml:space="preserve">503.063, BUYER'S TEMPORARY TAGS [HB3760]: </w:t>
      </w:r>
      <w:r>
        <w:t>This bill allows a federal, state, or local agency that sells a vehicle to issue a temporary buyer’s tag to the vehicle and is exempt from the requirements to obtain a dealer general distinguishing number.</w:t>
      </w:r>
    </w:p>
    <w:p w:rsidR="009A32D7" w:rsidRDefault="00D72E89">
      <w:pPr>
        <w:pStyle w:val="BodyA"/>
        <w:spacing w:line="240" w:lineRule="auto"/>
        <w:jc w:val="both"/>
      </w:pPr>
      <w:r>
        <w:rPr>
          <w:rStyle w:val="None"/>
          <w:b/>
          <w:bCs/>
        </w:rPr>
        <w:t>504.202, VETERANS WITH DISABILITIES; 504.501 CLASSIC MOTOR VEHICLES AND TRAVEL TRAILERS; CUSTOM VEHICLES; STREET RODS; and 504.502, CERTAIN EXHIBITION VEHICLES [HB3068]:</w:t>
      </w:r>
      <w:r>
        <w:t xml:space="preserve"> This bill amends §§504.202 [Veterans with Disabilities], 504.501 [Classic Motor Vehicles and Travel Trailers; Custom Vehicles; Street Rods], and 504.502 [Certain Exhibition Vehicles] to allow for a vehicle that is at least 25 years old to display a license plate that is embossed with an alphanumeric pattern of a plate design that was issued by this state in the same year as the model year of the vehicle.</w:t>
      </w:r>
    </w:p>
    <w:p w:rsidR="009A32D7" w:rsidRDefault="00D72E89">
      <w:pPr>
        <w:pStyle w:val="BodyA"/>
        <w:spacing w:line="240" w:lineRule="auto"/>
        <w:jc w:val="both"/>
      </w:pPr>
      <w:r>
        <w:rPr>
          <w:rStyle w:val="None"/>
          <w:b/>
          <w:bCs/>
        </w:rPr>
        <w:t>504.5115, CERTAIN PURPLE HEART RECIPIENTS [HB3343]</w:t>
      </w:r>
      <w:r>
        <w:t>: This bill requires the Texas Department of Motor Vehicles to create a Purple Heart license plate and to issue these specialty license plates to recipients of a Purple Heart awarded by the Department of Public Safety or another law enforcement agency in this state. The fee for the plates is $3. A person issued Purple Heart plates under this section shall be issued one set of plates without payment of any registration fee.</w:t>
      </w:r>
    </w:p>
    <w:p w:rsidR="009A32D7" w:rsidRDefault="00D72E89">
      <w:pPr>
        <w:pStyle w:val="BodyA"/>
        <w:spacing w:line="240" w:lineRule="auto"/>
        <w:jc w:val="both"/>
      </w:pPr>
      <w:r>
        <w:rPr>
          <w:rStyle w:val="None"/>
          <w:b/>
          <w:bCs/>
        </w:rPr>
        <w:t>504.947; 522.004; 545.058(c); 545.156(a); 546.002(b); 545.002; 547.405(d); and 547.703(a), multiple section titles [HB2837]:</w:t>
      </w:r>
      <w:r>
        <w:t xml:space="preserve"> HB 2837 relates to the operation of, and equipment requirements for, certain vehicles. This bill makes multiple important changes to the Transportation Code. </w:t>
      </w:r>
    </w:p>
    <w:p w:rsidR="009A32D7" w:rsidRDefault="00D72E89">
      <w:pPr>
        <w:pStyle w:val="BodyA"/>
        <w:spacing w:line="240" w:lineRule="auto"/>
        <w:jc w:val="both"/>
      </w:pPr>
      <w:r>
        <w:t xml:space="preserve">TRC §504.947, </w:t>
      </w:r>
      <w:r>
        <w:rPr>
          <w:rStyle w:val="None"/>
          <w:i/>
          <w:iCs/>
        </w:rPr>
        <w:t>License Plate Flipper</w:t>
      </w:r>
      <w:r>
        <w:t xml:space="preserve">, was repealed. A license plate flipper law still exists in §504.9465, </w:t>
      </w:r>
      <w:r>
        <w:rPr>
          <w:rStyle w:val="None"/>
          <w:i/>
          <w:iCs/>
        </w:rPr>
        <w:t>License Plate Flipper; Offense</w:t>
      </w:r>
      <w:r>
        <w:t>, but was in conflict with §504.947. With this repeal of §504.947, that conflict has been removed.</w:t>
      </w:r>
    </w:p>
    <w:p w:rsidR="009A32D7" w:rsidRDefault="00D72E89">
      <w:pPr>
        <w:pStyle w:val="BodyA"/>
        <w:spacing w:line="240" w:lineRule="auto"/>
        <w:jc w:val="both"/>
      </w:pPr>
      <w:r>
        <w:t>TRC §522.004 exempts certain individuals from the requirement to possess a CDL. Two new exceptions were added to the list:</w:t>
      </w:r>
    </w:p>
    <w:p w:rsidR="009A32D7" w:rsidRDefault="00D72E89">
      <w:pPr>
        <w:pStyle w:val="BodyA"/>
        <w:numPr>
          <w:ilvl w:val="0"/>
          <w:numId w:val="39"/>
        </w:numPr>
        <w:spacing w:line="240" w:lineRule="auto"/>
        <w:jc w:val="both"/>
      </w:pPr>
      <w:r>
        <w:t xml:space="preserve">a vehicle operated </w:t>
      </w:r>
      <w:r>
        <w:rPr>
          <w:rStyle w:val="None"/>
          <w:b/>
          <w:bCs/>
          <w:u w:val="single"/>
        </w:rPr>
        <w:t>intra</w:t>
      </w:r>
      <w:r>
        <w:t>state and driven by an individual not for compensation and not in the furtherance of a commercial enterprise; and</w:t>
      </w:r>
    </w:p>
    <w:p w:rsidR="009A32D7" w:rsidRDefault="00D72E89">
      <w:pPr>
        <w:pStyle w:val="BodyA"/>
        <w:numPr>
          <w:ilvl w:val="0"/>
          <w:numId w:val="39"/>
        </w:numPr>
        <w:spacing w:line="240" w:lineRule="auto"/>
        <w:jc w:val="both"/>
      </w:pPr>
      <w:r>
        <w:t xml:space="preserve">a covered farm vehicle as defined by </w:t>
      </w:r>
      <w:hyperlink r:id="rId25" w:anchor="se49.5.390_15" w:history="1">
        <w:r>
          <w:rPr>
            <w:rStyle w:val="Hyperlink1"/>
          </w:rPr>
          <w:t>49 C.F.R. §390.5</w:t>
        </w:r>
      </w:hyperlink>
      <w:r>
        <w:t>. A covered farm vehicle is defined as: a vehicle that travels in the state in which the vehicle is registered or in another state, is operated by an owner or operator of a farm or ranch, or by a family member or employee of the owner or operator, transports agricultural commodities, livestock, machinery or supplies to or from a farm or ranch, has a license plate or some other means specified by the state that identifies it as a farm vehicle, is not used in for-hire motor carrier operations (but for-hire operations do not include use of a vehicle owned and operated by a tenant farmer to transport the landlord’s portion of the crops under a crop-share agreement), is not transporting hazardous materials that require placarding, and either of the following: has a GVW or GVWR (whichever is greater) of 26,001 pounds or less, in which case the CFV exemptions in §390.39 apply anywhere in the United States, or has a GVW or GVWR (whichever is greater) of more than 26,001 pounds and travels within the State where it is registered or, if traveling out of the State where it is registered, stays within a 150 air-miles of the owner or operator’s farm or ranch.</w:t>
      </w:r>
    </w:p>
    <w:p w:rsidR="009A32D7" w:rsidRDefault="00D72E89">
      <w:pPr>
        <w:pStyle w:val="BodyA"/>
        <w:spacing w:line="240" w:lineRule="auto"/>
        <w:jc w:val="both"/>
      </w:pPr>
      <w:r>
        <w:t>Section 545.058(c) was amended by adding a slow-moving vehicle (a vehicle designed to operate at ≤25 mph) to the list of vehicles that can operate on the improved (i.e., paved) shoulder.</w:t>
      </w:r>
    </w:p>
    <w:p w:rsidR="009A32D7" w:rsidRDefault="00D72E89">
      <w:pPr>
        <w:pStyle w:val="BodyA"/>
        <w:spacing w:line="240" w:lineRule="auto"/>
        <w:jc w:val="both"/>
      </w:pPr>
      <w:r>
        <w:t xml:space="preserve">Section 545.156(a) was amended to require a vehicle to yield the right of way to an authorized emergency vehicle using an audible </w:t>
      </w:r>
      <w:r>
        <w:rPr>
          <w:rStyle w:val="None"/>
          <w:u w:val="single"/>
        </w:rPr>
        <w:t>OR</w:t>
      </w:r>
      <w:r>
        <w:t xml:space="preserve"> visual signal. This change now requires vehicles to yield the right of way to an authorized emergency vehicle using emergency lights only.</w:t>
      </w:r>
    </w:p>
    <w:p w:rsidR="009A32D7" w:rsidRDefault="00D72E89">
      <w:pPr>
        <w:pStyle w:val="BodyA"/>
        <w:spacing w:line="240" w:lineRule="auto"/>
        <w:jc w:val="both"/>
      </w:pPr>
      <w:r>
        <w:t>Section 546.002(b) outlines the times that a person operating an authorized emergency vehicle may engage in certain permissible conduct that is outlined in TRC §546.001.</w:t>
      </w:r>
      <w:r>
        <w:rPr>
          <w:rStyle w:val="None"/>
          <w:vertAlign w:val="superscript"/>
        </w:rPr>
        <w:footnoteReference w:id="20"/>
      </w:r>
    </w:p>
    <w:p w:rsidR="009A32D7" w:rsidRDefault="00D72E89">
      <w:pPr>
        <w:pStyle w:val="BodyA"/>
        <w:spacing w:line="240" w:lineRule="auto"/>
        <w:jc w:val="both"/>
      </w:pPr>
      <w:r>
        <w:t xml:space="preserve">TRC §546.002 was changed to allow an authorized emergency vehicle to park or stand the vehicle, irrespective of another provision of the law, regardless of whether or not the authorized emergency vehicle is being operated in an emergency. </w:t>
      </w:r>
    </w:p>
    <w:p w:rsidR="009A32D7" w:rsidRDefault="00D72E89">
      <w:pPr>
        <w:pStyle w:val="BodyA"/>
        <w:spacing w:line="240" w:lineRule="auto"/>
        <w:jc w:val="both"/>
      </w:pPr>
      <w:r>
        <w:t>This bill also corrects an inconsistency that previously existed regarding brakes on trailers between TRC §§547.401(b)(1) and TRC 547.405(d). TRC §547.401 exempted trailers with a gross weight of 4,500 pounds or less from having brakes.  TRC §547.405 required trailers with a gross weight of 3,000 pounds or more to be equipped with brakes. TRC §547.405(d) was amended and the 3,000-pound requirement was increased to 4,500 pounds.</w:t>
      </w:r>
    </w:p>
    <w:p w:rsidR="009A32D7" w:rsidRDefault="00D72E89">
      <w:pPr>
        <w:pStyle w:val="BodyA"/>
        <w:spacing w:line="240" w:lineRule="auto"/>
        <w:jc w:val="both"/>
      </w:pPr>
      <w:r>
        <w:t>TRC §547.703(a) was amended to update the law as to the placement of slow-moving vehicle emblems. Previously, the emblems were required to be placed at a height from three to five feet above the road surface. The specific height requirement has been removed and emblems are now simply required to be placed at a height that does not impair the visibility of the emblem.</w:t>
      </w:r>
    </w:p>
    <w:p w:rsidR="009A32D7" w:rsidRDefault="00D72E89">
      <w:pPr>
        <w:pStyle w:val="BodyA"/>
        <w:spacing w:line="240" w:lineRule="auto"/>
        <w:jc w:val="both"/>
      </w:pPr>
      <w:r>
        <w:rPr>
          <w:rStyle w:val="None"/>
          <w:b/>
          <w:bCs/>
        </w:rPr>
        <w:t>Chapter 504, Subchapter B-1, DIGITAL LICENSE PLATES [SB604]:</w:t>
      </w:r>
      <w:r>
        <w:t xml:space="preserve"> This bill amends TRC Chapter 504 by creating Subchapter B-1, </w:t>
      </w:r>
      <w:r>
        <w:rPr>
          <w:rStyle w:val="None"/>
          <w:i/>
          <w:iCs/>
        </w:rPr>
        <w:t>Digital License Plates</w:t>
      </w:r>
      <w:r>
        <w:t>. Subchapter B-1 establishes the provisions for implementing Digital License Plates, the applicability and rules for administering the chapter, and authorizes which vehicles will be able to display the license plate. The Digital License Plate will be displayed on the rear of certain vehicles including commercial vehicles and governmental vehicles but may not be displayed on passenger vehicles. The plates will display registration information as well as toll collection information, parking permit information and other governmental alert information such as Amber, Silver and Blue Alerts.</w:t>
      </w:r>
    </w:p>
    <w:p w:rsidR="009A32D7" w:rsidRDefault="00D72E89">
      <w:pPr>
        <w:pStyle w:val="BodyA"/>
        <w:spacing w:line="240" w:lineRule="auto"/>
        <w:jc w:val="both"/>
      </w:pPr>
      <w:r>
        <w:rPr>
          <w:rStyle w:val="None"/>
          <w:b/>
          <w:bCs/>
        </w:rPr>
        <w:t>521.060, EMERGENCY CONTACT AND MEDICAL INFORMATION DATABASES [SB1764]:</w:t>
      </w:r>
      <w:r>
        <w:t xml:space="preserve"> Senate Bill 1764 allows the holder of a personal identification certificate or driver license to add, delete, or amend the emergency contact or medical information, by submitting a form electronically through the department’s Internet website.</w:t>
      </w:r>
    </w:p>
    <w:p w:rsidR="009A32D7" w:rsidRDefault="00D72E89">
      <w:pPr>
        <w:pStyle w:val="BodyA"/>
        <w:spacing w:line="240" w:lineRule="auto"/>
        <w:jc w:val="both"/>
      </w:pPr>
      <w:r>
        <w:rPr>
          <w:rStyle w:val="None"/>
          <w:b/>
          <w:bCs/>
        </w:rPr>
        <w:t>521.101, PERSONAL IDENTIFICATION CERTIFICATE [HB2092]:</w:t>
      </w:r>
      <w:r>
        <w:t xml:space="preserve"> House Bill 2092 involves the issuance of a personal identification certificate to a person whose driver license has been suspended. This bill requires TxDPS to issue an ID Certificate to a person who surrenders his driver license at the time of applying for the certificate.</w:t>
      </w:r>
    </w:p>
    <w:p w:rsidR="009A32D7" w:rsidRDefault="00D72E89">
      <w:pPr>
        <w:pStyle w:val="BodyA"/>
        <w:spacing w:line="240" w:lineRule="auto"/>
        <w:jc w:val="both"/>
      </w:pPr>
      <w:r>
        <w:rPr>
          <w:rStyle w:val="None"/>
          <w:b/>
          <w:bCs/>
        </w:rPr>
        <w:t xml:space="preserve">521.145, APPLICATION BY PERSON UNDER 18 YEARS OF AGE [HB87 and HB2551]: </w:t>
      </w:r>
      <w:r>
        <w:t>House Bill 87 requires the Driver License Division of TxDPS to provide minors and the co-signer of the minor’s license, during the license application process, with information regarding the dangers of distracted driving. House Bill 2551 amends TRC 521.145(a) to include an agent under a power of attorney for the parent who has custody of the applicant to the list of individuals who can act as a cosigner on the driver license application of a minor.</w:t>
      </w:r>
    </w:p>
    <w:p w:rsidR="009A32D7" w:rsidRDefault="00D72E89">
      <w:pPr>
        <w:pStyle w:val="BodyA"/>
        <w:spacing w:line="240" w:lineRule="auto"/>
        <w:jc w:val="both"/>
      </w:pPr>
      <w:r>
        <w:rPr>
          <w:rStyle w:val="None"/>
          <w:b/>
          <w:bCs/>
        </w:rPr>
        <w:t>521.293, PERIOD OF SUSPENSION UNDER SECTION 521.292 [HB162]:</w:t>
      </w:r>
      <w:r>
        <w:t xml:space="preserve"> This bill sets the period of suspension at a maximum of 90 days for a person meeting one of the mandatory suspension requirements described in TRC §521.292, </w:t>
      </w:r>
      <w:r>
        <w:rPr>
          <w:rStyle w:val="None"/>
          <w:i/>
          <w:iCs/>
        </w:rPr>
        <w:t>Department's Determination for License Suspension</w:t>
      </w:r>
      <w:r>
        <w:t>.</w:t>
      </w:r>
    </w:p>
    <w:p w:rsidR="009A32D7" w:rsidRDefault="00D72E89">
      <w:pPr>
        <w:pStyle w:val="BodyA"/>
        <w:spacing w:line="240" w:lineRule="auto"/>
        <w:jc w:val="both"/>
      </w:pPr>
      <w:r>
        <w:rPr>
          <w:rStyle w:val="None"/>
          <w:b/>
          <w:bCs/>
        </w:rPr>
        <w:t>541.201, VEHICLES; 547.306, LED GROUND EFFECT LIGHTING EQUIPMENT ON MOTORCYCLE OR MOPED; and 521.225, MOPED LICENSE [HB3171]:</w:t>
      </w:r>
      <w:r>
        <w:t xml:space="preserve"> HB 3171 makes multiple changes to the classification and operation of mopeds and certain motorcycles. This bill made several significant changes regarding mopeds and small motorcycles. Those changes include, but are not limited to:</w:t>
      </w:r>
    </w:p>
    <w:p w:rsidR="009A32D7" w:rsidRDefault="00D72E89">
      <w:pPr>
        <w:pStyle w:val="BodyA"/>
        <w:spacing w:line="240" w:lineRule="auto"/>
        <w:jc w:val="both"/>
      </w:pPr>
      <w:r>
        <w:t xml:space="preserve">The definition of a motor-driven cycle in TRC §541.201(10) was repealed. The definition of a moped in TRC §541.201(8) was amended to read as follows: “a moped means a motor vehicle that is equipped with a rider’s saddle and designed to have when propelled not more than three wheels on the ground, that cannot attain a speed in one mile of more than 30 MPH and that has an engine which cannot produce more than five-brake horsepower with an engine that has a piston displacement of 50 cubic centimeters or less.” Furthermore, a moped is not included in the definition of a motorcycle. TRC §547.306 was amended to allow a moped to continue to have ground-effect lighting. Lastly, TRC §521.225, </w:t>
      </w:r>
      <w:r>
        <w:rPr>
          <w:rStyle w:val="None"/>
          <w:i/>
          <w:iCs/>
        </w:rPr>
        <w:t>Moped License</w:t>
      </w:r>
      <w:r>
        <w:t xml:space="preserve">, was </w:t>
      </w:r>
      <w:r>
        <w:rPr>
          <w:rStyle w:val="None"/>
          <w:u w:val="single"/>
        </w:rPr>
        <w:t>repealed</w:t>
      </w:r>
      <w:r>
        <w:t>, which allows a moped to be operated without any kind of additional license or endorsement other than a Class C driver license.</w:t>
      </w:r>
    </w:p>
    <w:p w:rsidR="009A32D7" w:rsidRDefault="00D72E89">
      <w:pPr>
        <w:pStyle w:val="BodyA"/>
        <w:spacing w:line="240" w:lineRule="auto"/>
        <w:jc w:val="both"/>
      </w:pPr>
      <w:r>
        <w:rPr>
          <w:rStyle w:val="None"/>
          <w:b/>
          <w:bCs/>
        </w:rPr>
        <w:t xml:space="preserve">545.157, PASSING CERTAIN VEHICLES [HB61]: </w:t>
      </w:r>
      <w:r>
        <w:t>House Bill 61 makes changes to the lists of vehicles that require a slow down or move over response and includes additional vehicles that can be equipped with flashing blue lights. The bill amends §TRC 545.157(a), the "Move-Over Law,” by adding three additional classes of vehicles that require traffic to slow down or move over. In addition to stationary authorized emergency vehicles, tow trucks, and TxDOT vehicles, the “Move-Over Law” now also applies to any contracted stationary highway maintenance or construction vehicle, stationary service vehicle, and stationary garbage truck.</w:t>
      </w:r>
    </w:p>
    <w:p w:rsidR="009A32D7" w:rsidRDefault="00D72E89">
      <w:pPr>
        <w:pStyle w:val="BodyA"/>
        <w:spacing w:line="240" w:lineRule="auto"/>
        <w:jc w:val="both"/>
      </w:pPr>
      <w:r>
        <w:t>This bill also amends TRC §547.305 related to the use of flashing blue lights. Any vehicle listed in §545.157(a) may be equipped with flashing blue lights. An Escort Flag Vehicle is also allowed to have flashing blue and amber lights. "Escort Flag Vehicle" is defined as a vehicle that precedes or follows an oversize or overweight vehicle for the purpose of facilitating the safe movement of the oversize or overweight vehicle over the roads.</w:t>
      </w:r>
    </w:p>
    <w:p w:rsidR="009A32D7" w:rsidRDefault="00D72E89">
      <w:pPr>
        <w:pStyle w:val="BodyA"/>
        <w:spacing w:line="240" w:lineRule="auto"/>
        <w:jc w:val="both"/>
      </w:pPr>
      <w:r>
        <w:rPr>
          <w:rStyle w:val="None"/>
          <w:b/>
          <w:bCs/>
        </w:rPr>
        <w:t>545.355, AUTHORITY OF COUNTY COMMISSIONERS COURT TO ALTER SPEED LIMITS; and 545.357, PUBLIC HEARING TO CONSIDER SPEED LIMITS WHERE CERTAIN SCHOOLS ARE LOCATED [HB3871]:</w:t>
      </w:r>
      <w:r>
        <w:t xml:space="preserve"> This bill allows the commissioner’s court of a county to set the speed limit at 20 MPH on a county road or highway that is located within 500’ of certain schools.</w:t>
      </w:r>
    </w:p>
    <w:p w:rsidR="009A32D7" w:rsidRDefault="00D72E89">
      <w:pPr>
        <w:pStyle w:val="BodyA"/>
        <w:spacing w:line="240" w:lineRule="auto"/>
        <w:jc w:val="both"/>
      </w:pPr>
      <w:r>
        <w:rPr>
          <w:rStyle w:val="None"/>
          <w:b/>
          <w:bCs/>
        </w:rPr>
        <w:t xml:space="preserve">545.364, SPEED LIMIT SIGNS AFTER CONSTRUCTION OR MAINTENANCE WORK ZONE [HB339]: </w:t>
      </w:r>
      <w:r>
        <w:t>House Bill 339 requires the placement of speed-limit signs at the end of construction or maintenance work zones. This bill requires an entity that has responsibility for a construction or maintenance work zone with a reduced speed limit, to post a sign at the end of the zone that indicates the speed limit after the zone ends.</w:t>
      </w:r>
    </w:p>
    <w:p w:rsidR="009A32D7" w:rsidRDefault="00D72E89">
      <w:pPr>
        <w:pStyle w:val="BodyA"/>
        <w:spacing w:line="240" w:lineRule="auto"/>
        <w:jc w:val="both"/>
      </w:pPr>
      <w:r>
        <w:rPr>
          <w:rStyle w:val="None"/>
          <w:b/>
          <w:bCs/>
        </w:rPr>
        <w:t>545.425, USE OF WIRELESS COMMUNICATION DEVICE IN A SCHOOL CROSSING ZONE OR WHILE OPERATING A BUS WITH A MINOR PASSENGER; LOCAL AUTHORITY SIGN REQUIREMENTS; OFFENSE [HB771]:</w:t>
      </w:r>
      <w:r>
        <w:t xml:space="preserve"> House Bill 771 re-words TRC §545.425 regarding the placement of signs prohibiting the use of a wireless communication device. This bill clarifies language regarding placement of signs prohibiting cellular telephone use in a school zone. A new exception is provided that allows for the operation of a school bus or passenger bus while using a wireless communication device in the performance of the operator’s duties as a bus driver and in a manner similar to using a two-way radio.</w:t>
      </w:r>
    </w:p>
    <w:p w:rsidR="009A32D7" w:rsidRDefault="00D72E89">
      <w:pPr>
        <w:pStyle w:val="BodyA"/>
        <w:spacing w:line="240" w:lineRule="auto"/>
        <w:jc w:val="both"/>
      </w:pPr>
      <w:r>
        <w:rPr>
          <w:rStyle w:val="None"/>
          <w:b/>
          <w:bCs/>
        </w:rPr>
        <w:t>547.703; 551.402; and Chap. 551A, OFF-HIGHWAY VEHICLES [HB1548]:</w:t>
      </w:r>
      <w:r>
        <w:t xml:space="preserve"> House Bill 1548 made sweeping changes to the operation of golf carts, neighborhood electric vehicles, and off-highway vehicles. TRC §551.402(b) now requires that golf carts operated on a highway display a license plate. The fee for the plate is $10; the plate does not expire; and the plate is not transferrable to a new owner.</w:t>
      </w:r>
    </w:p>
    <w:p w:rsidR="009A32D7" w:rsidRDefault="00D72E89">
      <w:pPr>
        <w:pStyle w:val="BodyA"/>
        <w:spacing w:line="240" w:lineRule="auto"/>
        <w:jc w:val="both"/>
      </w:pPr>
      <w:r>
        <w:t xml:space="preserve">TRC §547.703(d) was amended to require neighborhood electric vehicles and off-highway vehicles that are operated at a speed of not more than 25 miles per hour to display a slow-moving vehicle emblem when operated on a highway. </w:t>
      </w:r>
    </w:p>
    <w:p w:rsidR="009A32D7" w:rsidRDefault="00D72E89">
      <w:pPr>
        <w:pStyle w:val="BodyA"/>
        <w:spacing w:line="240" w:lineRule="auto"/>
        <w:jc w:val="both"/>
      </w:pPr>
      <w:r>
        <w:t xml:space="preserve">The legislation previously contained in TRC Chapter 663 in now located in the newly created TRC Chapter 551A, </w:t>
      </w:r>
      <w:r>
        <w:rPr>
          <w:rStyle w:val="None"/>
          <w:i/>
          <w:iCs/>
        </w:rPr>
        <w:t>Off-Highway Vehicles</w:t>
      </w:r>
      <w:r>
        <w:t xml:space="preserve">. Under TRC §§551A.053 and 551A.055, off-highway vehicles that display a license plate may now be operated on a highway in the same fashion as a golf cart or neighborhood electric vehicle. The fee for the off-highway vehicle license plate is $10, the plate does not expire, and it is not transferrable to a new owner. Under TRC §§551A.057(b) and 551A.058(b), an off-highway vehicle that is operated for agricultural or law enforcement purposes, respectively, is not required to display a license plate. </w:t>
      </w:r>
      <w:r>
        <w:rPr>
          <w:rStyle w:val="None"/>
          <w:shd w:val="clear" w:color="auto" w:fill="FFFF00"/>
        </w:rPr>
        <w:t xml:space="preserve">Note that this law went into effect when the Governor signed it on </w:t>
      </w:r>
      <w:r>
        <w:rPr>
          <w:rStyle w:val="None"/>
          <w:b/>
          <w:bCs/>
          <w:u w:val="single"/>
          <w:shd w:val="clear" w:color="auto" w:fill="FFFF00"/>
        </w:rPr>
        <w:t>June 14, 2019</w:t>
      </w:r>
      <w:r>
        <w:rPr>
          <w:rStyle w:val="None"/>
          <w:shd w:val="clear" w:color="auto" w:fill="FFFF00"/>
        </w:rPr>
        <w:t>.</w:t>
      </w:r>
    </w:p>
    <w:p w:rsidR="009A32D7" w:rsidRDefault="00D72E89">
      <w:pPr>
        <w:pStyle w:val="BodyA"/>
        <w:spacing w:line="240" w:lineRule="auto"/>
        <w:jc w:val="both"/>
      </w:pPr>
      <w:r>
        <w:rPr>
          <w:rStyle w:val="None"/>
          <w:b/>
          <w:bCs/>
        </w:rPr>
        <w:t>552.011, TRAIN OCCUPYING CROSSING [HB2775</w:t>
      </w:r>
      <w:r>
        <w:t>]: House Bill 2775 amends the TRC to prohibit a pedestrian from moving in front of, under, between, or through the cars of a moving or stationary train occupying any part of a railroad grade crossing.</w:t>
      </w:r>
    </w:p>
    <w:p w:rsidR="009A32D7" w:rsidRDefault="00D72E89">
      <w:pPr>
        <w:pStyle w:val="BodyA"/>
        <w:spacing w:line="240" w:lineRule="auto"/>
        <w:jc w:val="both"/>
      </w:pPr>
      <w:r>
        <w:rPr>
          <w:rStyle w:val="None"/>
          <w:b/>
          <w:bCs/>
        </w:rPr>
        <w:t>Chapter 552A, DEVICES SUBJECT TO PEDESTRIAN LAWS [SB969]:</w:t>
      </w:r>
      <w:r>
        <w:t xml:space="preserve"> This bill creates Chapter 552A, </w:t>
      </w:r>
      <w:r>
        <w:rPr>
          <w:rStyle w:val="None"/>
          <w:i/>
          <w:iCs/>
        </w:rPr>
        <w:t>Devices Subject to Pedestrian Laws</w:t>
      </w:r>
      <w:r>
        <w:t xml:space="preserve">. Motorized Mobility Device is moved from TRC §542.009 into this new chapter; additionally, SB969 creates some new definitions applicable to this chapter. In TRC Chapter 552A, personal delivery devices are not considered to be vehicles and will be operated subject to pedestrian laws. The operator of these devices will be responsible for the legal operation of the device within law and regulation regarding yielding to traffic and pedestrians. The device will have restricted operational speeds, lighting requirements when operated at night or low light conditions, and a braking system. Insurance at a minimum of $100,000 will be required. Operators of Certain Mobility Devices will be moved to this new chapter as well as Pocket Bikes. </w:t>
      </w:r>
      <w:r>
        <w:rPr>
          <w:rStyle w:val="None"/>
          <w:shd w:val="clear" w:color="auto" w:fill="FFFF00"/>
        </w:rPr>
        <w:t xml:space="preserve">Note that this law went into effect when the Governor signed it on </w:t>
      </w:r>
      <w:r>
        <w:rPr>
          <w:rStyle w:val="None"/>
          <w:b/>
          <w:bCs/>
          <w:u w:val="single"/>
          <w:shd w:val="clear" w:color="auto" w:fill="FFFF00"/>
        </w:rPr>
        <w:t>June 10, 2019</w:t>
      </w:r>
      <w:r>
        <w:rPr>
          <w:rStyle w:val="None"/>
          <w:shd w:val="clear" w:color="auto" w:fill="FFFF00"/>
        </w:rPr>
        <w:t>.</w:t>
      </w:r>
    </w:p>
    <w:p w:rsidR="009A32D7" w:rsidRDefault="00D72E89">
      <w:pPr>
        <w:pStyle w:val="BodyA"/>
        <w:spacing w:line="240" w:lineRule="auto"/>
        <w:jc w:val="both"/>
      </w:pPr>
      <w:r>
        <w:rPr>
          <w:rStyle w:val="None"/>
          <w:b/>
          <w:bCs/>
        </w:rPr>
        <w:t xml:space="preserve">621.207, MAXIMUM HEIGHT, and 621.504, BRIDGE OR UNDERPASS CLEARANCE [HB799]: </w:t>
      </w:r>
      <w:r>
        <w:t>House Bill 799 addresses the liability for damage to certain structures caused by oversize or overweight vehicles. This bill modifies TRC §621.207(c) to make the owner of a vehicle strictly liable</w:t>
      </w:r>
      <w:r>
        <w:rPr>
          <w:rStyle w:val="None"/>
          <w:b/>
          <w:bCs/>
          <w:vertAlign w:val="superscript"/>
        </w:rPr>
        <w:footnoteReference w:id="21"/>
      </w:r>
      <w:r>
        <w:t xml:space="preserve"> for any damage to a bridge, underpass, or similar structure that is caused by the height of the vehicle. This means that the owner is responsible for any damage to a structure, regardless of the circumstances. </w:t>
      </w:r>
    </w:p>
    <w:p w:rsidR="009A32D7" w:rsidRDefault="00D72E89">
      <w:pPr>
        <w:pStyle w:val="BodyA"/>
        <w:spacing w:line="240" w:lineRule="auto"/>
        <w:jc w:val="both"/>
      </w:pPr>
      <w:r>
        <w:t>Four exceptions to the strict liability requirement are included:</w:t>
      </w:r>
    </w:p>
    <w:p w:rsidR="009A32D7" w:rsidRDefault="00D72E89">
      <w:pPr>
        <w:pStyle w:val="BodyA"/>
        <w:numPr>
          <w:ilvl w:val="0"/>
          <w:numId w:val="41"/>
        </w:numPr>
        <w:spacing w:line="240" w:lineRule="auto"/>
        <w:jc w:val="both"/>
      </w:pPr>
      <w:r>
        <w:t>the vehicle was stolen;</w:t>
      </w:r>
    </w:p>
    <w:p w:rsidR="009A32D7" w:rsidRDefault="00D72E89">
      <w:pPr>
        <w:pStyle w:val="BodyA"/>
        <w:numPr>
          <w:ilvl w:val="0"/>
          <w:numId w:val="41"/>
        </w:numPr>
        <w:spacing w:line="240" w:lineRule="auto"/>
        <w:jc w:val="both"/>
      </w:pPr>
      <w:r>
        <w:t>the vehicle clearance of the structure was less than that posted on the structure;</w:t>
      </w:r>
    </w:p>
    <w:p w:rsidR="009A32D7" w:rsidRDefault="00D72E89">
      <w:pPr>
        <w:pStyle w:val="BodyA"/>
        <w:numPr>
          <w:ilvl w:val="0"/>
          <w:numId w:val="41"/>
        </w:numPr>
        <w:spacing w:line="240" w:lineRule="auto"/>
        <w:jc w:val="both"/>
      </w:pPr>
      <w:r>
        <w:t>the vehicle was being operated under the immediate direction of a law enforcement officer; or</w:t>
      </w:r>
    </w:p>
    <w:p w:rsidR="009A32D7" w:rsidRDefault="00D72E89">
      <w:pPr>
        <w:pStyle w:val="BodyA"/>
        <w:numPr>
          <w:ilvl w:val="0"/>
          <w:numId w:val="41"/>
        </w:numPr>
        <w:spacing w:line="240" w:lineRule="auto"/>
        <w:jc w:val="both"/>
      </w:pPr>
      <w:r>
        <w:t>the vehicle was being operated in compliance with a permit authorizing the movement of the vehicle issued by the department or a political subdivision of this state.</w:t>
      </w:r>
    </w:p>
    <w:p w:rsidR="009A32D7" w:rsidRDefault="00D72E89">
      <w:pPr>
        <w:pStyle w:val="BodyA"/>
        <w:spacing w:line="240" w:lineRule="auto"/>
        <w:jc w:val="both"/>
      </w:pPr>
      <w:r>
        <w:t>Additionally, TRC §621.504 was modified to include an offense for operating an oversize load with a height that is less than the vertical clearance of the structure. This is a M/C-level offense.  It can be a M/B if it is shown at trial that the person was not in compliance with all applicable license and permit requirements. It is an affirmative defense to prosecution that at the time of the offense:</w:t>
      </w:r>
    </w:p>
    <w:p w:rsidR="009A32D7" w:rsidRDefault="00D72E89">
      <w:pPr>
        <w:pStyle w:val="BodyA"/>
        <w:numPr>
          <w:ilvl w:val="0"/>
          <w:numId w:val="43"/>
        </w:numPr>
        <w:spacing w:line="240" w:lineRule="auto"/>
        <w:jc w:val="both"/>
      </w:pPr>
      <w:r>
        <w:t>the vertical clearance of the structure was less than that posted on the structure;</w:t>
      </w:r>
    </w:p>
    <w:p w:rsidR="009A32D7" w:rsidRDefault="00D72E89">
      <w:pPr>
        <w:pStyle w:val="BodyA"/>
        <w:numPr>
          <w:ilvl w:val="0"/>
          <w:numId w:val="43"/>
        </w:numPr>
        <w:spacing w:line="240" w:lineRule="auto"/>
        <w:jc w:val="both"/>
      </w:pPr>
      <w:r>
        <w:t>the vehicle was being operated under the immediate direction of a law enforcement agency; or</w:t>
      </w:r>
    </w:p>
    <w:p w:rsidR="009A32D7" w:rsidRDefault="00D72E89">
      <w:pPr>
        <w:pStyle w:val="BodyA"/>
        <w:numPr>
          <w:ilvl w:val="0"/>
          <w:numId w:val="43"/>
        </w:numPr>
        <w:spacing w:line="240" w:lineRule="auto"/>
        <w:jc w:val="both"/>
      </w:pPr>
      <w:r>
        <w:t xml:space="preserve">the vehicle was being operated in compliance with a permit authorizing the movement of the vehicle. </w:t>
      </w:r>
    </w:p>
    <w:p w:rsidR="009A32D7" w:rsidRDefault="00D72E89">
      <w:pPr>
        <w:pStyle w:val="BodyA"/>
        <w:spacing w:line="240" w:lineRule="auto"/>
        <w:jc w:val="both"/>
      </w:pPr>
      <w:r>
        <w:rPr>
          <w:rStyle w:val="None"/>
          <w:b/>
          <w:bCs/>
        </w:rPr>
        <w:t>622.101, VEHICLES TRANSPORTING CERTAIN AGRICULTURAL PRODUCTS OR PROCESSING EQUIPMENT [SB688]:</w:t>
      </w:r>
      <w:r>
        <w:t xml:space="preserve"> This bill amends TRC §622.101 by adding a truck-tractor to the vehicles that may transport seed cotton or cotton and may operate at a height of fourteen feet, six inches.</w:t>
      </w:r>
    </w:p>
    <w:p w:rsidR="009A32D7" w:rsidRDefault="00D72E89">
      <w:pPr>
        <w:pStyle w:val="BodyA"/>
        <w:spacing w:line="240" w:lineRule="auto"/>
        <w:jc w:val="both"/>
      </w:pPr>
      <w:r>
        <w:rPr>
          <w:rStyle w:val="None"/>
          <w:b/>
          <w:bCs/>
        </w:rPr>
        <w:t>623.008, AUTHORITY TO REQUIRE ESCORT FLAG VEHICLES AND ESCORT FLAGGERS [HB2620]:</w:t>
      </w:r>
      <w:r>
        <w:t xml:space="preserve"> HB 2620 relates to the movement of oversize and overweight vehicles, including the enforcement of motor-vehicle size and weight limitations. This bill creates TRC §623.008, which defines an “escort flag vehicle” as a vehicle that precedes or follows an oversize or overweight vehicle operating under a permit issued by TxDOT for the purpose of facilitating the safe movement of the oversize or overweight vehicle. An “escort flagger” means a person who has successfully completed a training program in traffic direction as defined by the TCOLE basic peace officer course curriculum.</w:t>
      </w:r>
    </w:p>
    <w:p w:rsidR="009A32D7" w:rsidRDefault="00D72E89">
      <w:pPr>
        <w:pStyle w:val="BodyA"/>
        <w:spacing w:line="240" w:lineRule="auto"/>
        <w:jc w:val="both"/>
      </w:pPr>
      <w:r>
        <w:t>TRC §542.501 was amended to include an escort flagger who is directing or controlling the flow of traffic in accordance with a permit issued by TxDOT to facilitate the movement of an oversize or overweight load to the list of persons who can direct traffic. It states that a person may not willfully fail or refuse to comply with a lawful direction of a police officer, a school crossing guard, or an escort flagger. This bill also amended TRC §621.503(a), which states that a person may not load a vehicle for operation on a public highway that exceeds the height, width, length or weight limitations as provided by Subtitle E. Previously, this only applied to weight violations. TRC §621.511 also creates a new offense for a person who operates or moves on a public highway, a vehicle that is issued a permit under Subtitle E and the person operating or moving the vehicle is not the person named on the permit. An exception exists for a vehicle that is being towed by a wrecker.</w:t>
      </w:r>
    </w:p>
    <w:p w:rsidR="009A32D7" w:rsidRDefault="00D72E89">
      <w:pPr>
        <w:pStyle w:val="BodyA"/>
        <w:spacing w:line="240" w:lineRule="auto"/>
        <w:jc w:val="both"/>
      </w:pPr>
      <w:r>
        <w:rPr>
          <w:rStyle w:val="None"/>
          <w:b/>
          <w:bCs/>
        </w:rPr>
        <w:t xml:space="preserve">Chapter 644, ADMINISTRATIVE ENFORCEMENT [HB511 and HB917]: </w:t>
      </w:r>
      <w:r>
        <w:t>These two bills expand the list of officers who can enforce the Federal Motor Carrier Safety Regulations. Specifically, these bills amend TRC §644.101 to include additional sheriffs or deputy sheriffs who may enforce the federal regulations based on the location, population, or both, of the county in which the officer works.</w:t>
      </w:r>
    </w:p>
    <w:p w:rsidR="009A32D7" w:rsidRDefault="00D72E89">
      <w:pPr>
        <w:pStyle w:val="BodyA"/>
        <w:spacing w:line="240" w:lineRule="auto"/>
        <w:jc w:val="both"/>
      </w:pPr>
      <w:r>
        <w:rPr>
          <w:rStyle w:val="None"/>
          <w:b/>
          <w:bCs/>
        </w:rPr>
        <w:t>681.003, PARKING PLACARD APPLICATION [HB643]:</w:t>
      </w:r>
      <w:r>
        <w:t xml:space="preserve"> HB643 facilitates easier access for individuals seeking to obtain a disabled parking placard. This bill amends TRC §681.003, which allows a person seeking a disabled-parking placard, to obtain the placard at a county assessor-collector of the county where the person resides or in the county where the person is seeking medical treatment.</w:t>
      </w:r>
    </w:p>
    <w:p w:rsidR="009A32D7" w:rsidRDefault="00D72E89">
      <w:pPr>
        <w:pStyle w:val="BodyA"/>
        <w:spacing w:line="240" w:lineRule="auto"/>
        <w:jc w:val="both"/>
        <w:rPr>
          <w:rStyle w:val="None"/>
          <w:b/>
          <w:bCs/>
        </w:rPr>
      </w:pPr>
      <w:r>
        <w:rPr>
          <w:rStyle w:val="None"/>
          <w:b/>
          <w:bCs/>
        </w:rPr>
        <w:t>Chapter 707, PHOTOGRAPHIC TRAFFIC SIGNAL ENFORCEMENT SYSTEM PROHIBITED [HB1631]:</w:t>
      </w:r>
      <w:r>
        <w:t xml:space="preserve"> House Bill 1631 prohibits the use of photographic traffic signal enforcement systems. This bill prohibits a local authority from operating a “red light camera system” on any highway or street within their jurisdiction. It also prohibits the use of any evidence gained from such a system for any civil or criminal charge. The bill allows the completion of existing contracts, but not renewals. As to which is which, please refer to your City or County Attorney. </w:t>
      </w:r>
      <w:r>
        <w:rPr>
          <w:rStyle w:val="None"/>
          <w:b/>
          <w:bCs/>
          <w:shd w:val="clear" w:color="auto" w:fill="FFFF00"/>
        </w:rPr>
        <w:t xml:space="preserve">Note that this law went into effect as soon as the Governor signed it on </w:t>
      </w:r>
      <w:r>
        <w:rPr>
          <w:rStyle w:val="None"/>
          <w:b/>
          <w:bCs/>
          <w:u w:val="single"/>
          <w:shd w:val="clear" w:color="auto" w:fill="FFFF00"/>
        </w:rPr>
        <w:t>June 2, 2019</w:t>
      </w:r>
      <w:r>
        <w:rPr>
          <w:rStyle w:val="None"/>
          <w:b/>
          <w:bCs/>
          <w:shd w:val="clear" w:color="auto" w:fill="FFFF00"/>
        </w:rPr>
        <w:t>.</w:t>
      </w:r>
    </w:p>
    <w:p w:rsidR="009A32D7" w:rsidRDefault="00D72E89">
      <w:pPr>
        <w:pStyle w:val="BodyA"/>
        <w:spacing w:line="240" w:lineRule="auto"/>
        <w:jc w:val="both"/>
      </w:pPr>
      <w:r>
        <w:rPr>
          <w:rStyle w:val="None"/>
          <w:b/>
          <w:bCs/>
        </w:rPr>
        <w:t xml:space="preserve">Chapter 708, DRIVER RESPONSIBILITY PROGRAM, and Chapter 709, MISCELLANEOUS TRAFFIC FINES [HB2048]: </w:t>
      </w:r>
      <w:r>
        <w:t xml:space="preserve">House Bill 2048 </w:t>
      </w:r>
      <w:r>
        <w:rPr>
          <w:rStyle w:val="None"/>
          <w:u w:val="single"/>
        </w:rPr>
        <w:t>repeals</w:t>
      </w:r>
      <w:r>
        <w:t xml:space="preserve"> TRC Chapter 708, </w:t>
      </w:r>
      <w:r>
        <w:rPr>
          <w:rStyle w:val="None"/>
          <w:i/>
          <w:iCs/>
        </w:rPr>
        <w:t xml:space="preserve">Driver Responsibility Program, </w:t>
      </w:r>
      <w:r>
        <w:t xml:space="preserve">and </w:t>
      </w:r>
      <w:r>
        <w:rPr>
          <w:rStyle w:val="None"/>
          <w:u w:val="single"/>
        </w:rPr>
        <w:t>creates</w:t>
      </w:r>
      <w:r>
        <w:t xml:space="preserve"> TRC Chapter 709, </w:t>
      </w:r>
      <w:r>
        <w:rPr>
          <w:rStyle w:val="None"/>
          <w:i/>
          <w:iCs/>
        </w:rPr>
        <w:t>Miscellaneous Traffic Fines</w:t>
      </w:r>
      <w:r>
        <w:t>. This new law does away with all of the surcharges previously assessed under TRC Chapter 708. DWI surcharges are now reclassified as “fines” and included in new TRC §709.001. In addition to the fine prescribed for the original offense, a person convicted of DWI will incur an additional fine of $3,000 for a first conviction; $4,500 for a second or subsequent conviction; and $6,000 for a first or subsequent conviction if the defendant had a BAC of 0.15 or more. The repeal of TRC Chapter 708 also does away with a driver point system in Texas. TRC Chapter 709 reallocates how DWI fines collected under the chapter are to be deposited, with 80% of the funds to be deposited in the general revenue fund to be used only for criminal justice purposes and 20% of the funds to be deposited in the trauma facility and emergency medical services account.</w:t>
      </w:r>
    </w:p>
    <w:p w:rsidR="009A32D7" w:rsidRDefault="00D72E89">
      <w:pPr>
        <w:pStyle w:val="BodyA"/>
        <w:spacing w:line="240" w:lineRule="auto"/>
        <w:jc w:val="both"/>
      </w:pPr>
      <w:r>
        <w:t>Equally important, the repeal of TRC Chapter 708 applies to any surcharge pending on the effective date of this act (09/01/2019), regardless of whether the surcharge was imposed before that date. The Department of Public Safety shall reinstate any driver’s license that was suspended under TRC §708.152 as of the effective date of the Act if the only reason the driver’s license was suspended was a failure to pay a surcharge.</w:t>
      </w:r>
    </w:p>
    <w:p w:rsidR="009A32D7" w:rsidRDefault="00D72E89">
      <w:pPr>
        <w:pStyle w:val="BodyA"/>
        <w:spacing w:line="240" w:lineRule="auto"/>
        <w:jc w:val="both"/>
      </w:pPr>
      <w:r>
        <w:rPr>
          <w:rStyle w:val="None"/>
          <w:b/>
          <w:bCs/>
        </w:rPr>
        <w:t xml:space="preserve">Chapter 731 and others, ASSEMBLED VEHICLES [HB1755]: </w:t>
      </w:r>
      <w:r>
        <w:t xml:space="preserve">HB 1755 defines and allows for the titling and registration of assembled vehicles and former military vehicles. This bill creates TRC Chapter 731, </w:t>
      </w:r>
      <w:r>
        <w:rPr>
          <w:rStyle w:val="None"/>
          <w:i/>
          <w:iCs/>
        </w:rPr>
        <w:t>Assembled Vehicles</w:t>
      </w:r>
      <w:r>
        <w:t>. The bill defines an assembled motor vehicle as one that has a motor, body, and frame and is built by a hobbyist. A hobbyist is a person who builds assembled vehicles for personal use and does not engage in the continuous sale of the vehicles. TRC §731.051 requires an owner of an assembled motor vehicle to title and register the vehicle unless the vehicle is of a type that is prohibited from being titled, including off-highway vehicles and flood-damaged vehicles. In order to be titled, an assembled vehicle must pass a state inspection under TRC Chapter 548 and an inspection conducted by a master technician who holds an automobile or light-truck certification.</w:t>
      </w:r>
    </w:p>
    <w:p w:rsidR="009A32D7" w:rsidRDefault="00D72E89">
      <w:pPr>
        <w:pStyle w:val="BodyA"/>
        <w:spacing w:line="240" w:lineRule="auto"/>
        <w:jc w:val="both"/>
      </w:pPr>
      <w:r>
        <w:t>This bill also redefines a “Former Military Vehicle” as a vehicle, including a trailer, that was manufactured for use in any country’s military forces and is not operated on continuous tracks. A former military vehicle may be registered for on-road use if the vehicle is a high-mobility, multipurpose, wheeled vehicle designated for off-highway use and the gross vehicle weight rating is less than 10,000 pounds.</w:t>
      </w:r>
    </w:p>
    <w:p w:rsidR="009A32D7" w:rsidRDefault="00D72E89">
      <w:pPr>
        <w:pStyle w:val="Heading"/>
      </w:pPr>
      <w:r>
        <w:t>Changes to the Texas Health and Safety Code</w:t>
      </w:r>
    </w:p>
    <w:p w:rsidR="009A32D7" w:rsidRDefault="00D72E89">
      <w:pPr>
        <w:pStyle w:val="BodyA"/>
        <w:spacing w:line="240" w:lineRule="auto"/>
        <w:jc w:val="both"/>
      </w:pPr>
      <w:r>
        <w:rPr>
          <w:rStyle w:val="None"/>
          <w:b/>
          <w:bCs/>
        </w:rPr>
        <w:t xml:space="preserve">Subchapter H, DISTRIBUTION OF CIGARETTES, E-CIGARETTES, OR TOBACCO PRODUCTS [SB21]: </w:t>
      </w:r>
      <w:r>
        <w:t>Senate Bill 21 raises the age to 21 for the purchase, possession, consumption, or acceptance of cigarettes, e-cigarettes, or tobacco products. There is an exception for members of the military who are ≥18 YOA.</w:t>
      </w:r>
      <w:r w:rsidR="00C74C43">
        <w:t xml:space="preserve"> Additionally, individuals who were born </w:t>
      </w:r>
      <w:r w:rsidR="00C74C43" w:rsidRPr="00C74C43">
        <w:rPr>
          <w:b/>
          <w:bCs/>
          <w:u w:val="single"/>
        </w:rPr>
        <w:t xml:space="preserve">on or before 08/31/2001 </w:t>
      </w:r>
      <w:r w:rsidR="00C74C43">
        <w:t>are exempt from this new age requirement. This, in effect, allows persons who are 18 YOA when the law goes into effect to continue legally purchasing cigarettes, e-cigarettes, or other tobacco products.</w:t>
      </w:r>
    </w:p>
    <w:p w:rsidR="009A32D7" w:rsidRDefault="00D72E89">
      <w:pPr>
        <w:pStyle w:val="BodyA"/>
        <w:spacing w:line="240" w:lineRule="auto"/>
        <w:jc w:val="both"/>
      </w:pPr>
      <w:r>
        <w:rPr>
          <w:rStyle w:val="None"/>
          <w:b/>
          <w:bCs/>
        </w:rPr>
        <w:t>250.006, CONVICTIONS BARRING EMPLOYMENT [HB2894]:</w:t>
      </w:r>
      <w:r>
        <w:t xml:space="preserve"> House Bill 2894 amends this section, which deals with individuals who may not be employed in a facility or by an individual employer if the person has been convicted of an offense listed in this subsection, makes a few terminology changes by removing the term “Medicaid” and replacing it with the term “health care,” and by removing the term “improper photography,” replacing it with the term “invasive visual recording.”</w:t>
      </w:r>
    </w:p>
    <w:p w:rsidR="009A32D7" w:rsidRDefault="00D72E89">
      <w:pPr>
        <w:pStyle w:val="BodyA"/>
        <w:spacing w:line="240" w:lineRule="auto"/>
        <w:jc w:val="both"/>
      </w:pPr>
      <w:r>
        <w:rPr>
          <w:rStyle w:val="None"/>
          <w:b/>
          <w:bCs/>
        </w:rPr>
        <w:t xml:space="preserve">HEMP AND MARIJUANA LAW CHANGES [HB1325]: </w:t>
      </w:r>
      <w:r>
        <w:t>Because this is such a sweeping, wide-ranging set of changes to the HSC, it will be covered under this single heading rather than by individual sections. There is currently some disagreement among prosecutors, legislators, and the state’s executive branch as to the implementation of this bill.</w:t>
      </w:r>
      <w:r>
        <w:rPr>
          <w:rStyle w:val="None"/>
          <w:vertAlign w:val="superscript"/>
        </w:rPr>
        <w:footnoteReference w:id="22"/>
      </w:r>
      <w:r>
        <w:t xml:space="preserve"> </w:t>
      </w:r>
      <w:r>
        <w:rPr>
          <w:rStyle w:val="None"/>
          <w:b/>
          <w:bCs/>
        </w:rPr>
        <w:t>TCOLE has no opinion on any of the merits of these views</w:t>
      </w:r>
      <w:r>
        <w:t xml:space="preserve">. The Commission does, though, </w:t>
      </w:r>
      <w:r>
        <w:rPr>
          <w:rStyle w:val="None"/>
          <w:b/>
          <w:bCs/>
          <w:i/>
          <w:iCs/>
          <w:u w:val="single"/>
        </w:rPr>
        <w:t>strongly</w:t>
      </w:r>
      <w:r>
        <w:t xml:space="preserve"> urge officers to contact their local city, county, or district attorney for guidance on how to move forward.</w:t>
      </w:r>
    </w:p>
    <w:p w:rsidR="009A32D7" w:rsidRDefault="00D72E89">
      <w:pPr>
        <w:pStyle w:val="BodyA"/>
        <w:spacing w:line="240" w:lineRule="auto"/>
        <w:jc w:val="both"/>
      </w:pPr>
      <w:r>
        <w:t xml:space="preserve">The Legislature in House Bill 1325 legalized </w:t>
      </w:r>
      <w:r>
        <w:rPr>
          <w:rStyle w:val="None"/>
          <w:i/>
          <w:iCs/>
        </w:rPr>
        <w:t>hemp</w:t>
      </w:r>
      <w:r>
        <w:t>. Hemp is a versatile, valuable substance that can be used in a multitude of ways – most of which are economically beneficial for farmers. According to the National Conference of State Legislatures, as of August 2, 2019, “at least 46 states have enacted legislation to establish industrial hemp cultivation and production programs.”</w:t>
      </w:r>
      <w:r>
        <w:rPr>
          <w:rStyle w:val="None"/>
          <w:vertAlign w:val="superscript"/>
        </w:rPr>
        <w:footnoteReference w:id="23"/>
      </w:r>
      <w:r>
        <w:t xml:space="preserve"> HB 1325 removed hemp from the Texas Controlled Substances Act and excluded it from the definition of a controlled substance. Hemp, therefore, is now regulated as an agricultural or consumer product. There are specific rules related to “the growth, production, transport, sale, and use of hemp.”</w:t>
      </w:r>
      <w:r>
        <w:rPr>
          <w:rStyle w:val="None"/>
          <w:vertAlign w:val="superscript"/>
        </w:rPr>
        <w:footnoteReference w:id="24"/>
      </w:r>
      <w:r>
        <w:t xml:space="preserve"> </w:t>
      </w:r>
      <w:r>
        <w:rPr>
          <w:rStyle w:val="None"/>
          <w:i/>
          <w:iCs/>
        </w:rPr>
        <w:t>Marijuana</w:t>
      </w:r>
      <w:r>
        <w:t xml:space="preserve"> continues to be illegal in Texas. The confusion derives  from the fact that both substances are the same plant: </w:t>
      </w:r>
      <w:hyperlink r:id="rId26" w:history="1">
        <w:r>
          <w:rPr>
            <w:rStyle w:val="Hyperlink2"/>
          </w:rPr>
          <w:t>Cannabis sativa L</w:t>
        </w:r>
      </w:hyperlink>
      <w:r>
        <w:t>. The difference between hemp and Marijuana is the amount of THC (“THC” is the common street-name for the psychoactive ingredient in the plant, delta-9 tetrahydrocannabinol) contained therein. Hemp has ≤0.3% THC on a dry-weight basis; Marijuana has &gt;0.3% THC on a dry-weight basis. If a person possesses a substance that has &gt;0.3% THC on a dry-weight basis, the person possesses Marijuana – and is in violation of state law. If the substance has no more than 0.3% THC, he possesses hemp.</w:t>
      </w:r>
    </w:p>
    <w:p w:rsidR="009A32D7" w:rsidRDefault="00D72E89">
      <w:pPr>
        <w:pStyle w:val="BodyA"/>
        <w:spacing w:line="240" w:lineRule="auto"/>
        <w:jc w:val="both"/>
      </w:pPr>
      <w:r>
        <w:t xml:space="preserve">How does the officer determine which is which? Is what you’ve found legal or illegal? Therein lies the difficulty for law enforcement. Very few crime labs are currently equipped or able to test the THC level in a substance to such a fine degree. Additionally, the time and expense required to test any submissions must be taken into account. Officers should take time to read all 40 pages of the bill itself in order to understand the intricacies of these changes. Again, cooperation between law enforcement and local prosecutors is essential as you move forward. </w:t>
      </w:r>
      <w:r>
        <w:rPr>
          <w:rStyle w:val="None"/>
          <w:shd w:val="clear" w:color="auto" w:fill="FFFF00"/>
        </w:rPr>
        <w:t xml:space="preserve">Note that this law went into effect as soon as the Governor signed it on </w:t>
      </w:r>
      <w:r>
        <w:rPr>
          <w:rStyle w:val="None"/>
          <w:b/>
          <w:bCs/>
          <w:u w:val="single"/>
          <w:shd w:val="clear" w:color="auto" w:fill="FFFF00"/>
        </w:rPr>
        <w:t>June 10, 2019</w:t>
      </w:r>
      <w:r>
        <w:rPr>
          <w:rStyle w:val="None"/>
          <w:shd w:val="clear" w:color="auto" w:fill="FFFF00"/>
        </w:rPr>
        <w:t>.</w:t>
      </w:r>
    </w:p>
    <w:p w:rsidR="009A32D7" w:rsidRDefault="00D72E89">
      <w:pPr>
        <w:pStyle w:val="Heading"/>
      </w:pPr>
      <w:r>
        <w:t xml:space="preserve">Other Codes Affected </w:t>
      </w:r>
    </w:p>
    <w:p w:rsidR="009A32D7" w:rsidRDefault="00D72E89">
      <w:pPr>
        <w:pStyle w:val="BodyA"/>
        <w:spacing w:line="240" w:lineRule="auto"/>
        <w:jc w:val="both"/>
        <w:rPr>
          <w:rStyle w:val="None"/>
          <w:b/>
          <w:bCs/>
          <w:color w:val="00A2FF"/>
          <w:u w:color="00A2FF"/>
        </w:rPr>
      </w:pPr>
      <w:r>
        <w:rPr>
          <w:rStyle w:val="None"/>
          <w:b/>
          <w:bCs/>
          <w:color w:val="00A2FF"/>
          <w:u w:color="00A2FF"/>
        </w:rPr>
        <w:t>Texas Alcoholic Beverage Code</w:t>
      </w:r>
    </w:p>
    <w:p w:rsidR="009A32D7" w:rsidRDefault="00D72E89">
      <w:pPr>
        <w:pStyle w:val="BodyA"/>
        <w:spacing w:line="240" w:lineRule="auto"/>
        <w:jc w:val="both"/>
      </w:pPr>
      <w:r>
        <w:rPr>
          <w:rStyle w:val="None"/>
          <w:b/>
          <w:bCs/>
        </w:rPr>
        <w:t>TABC sunset review / reauthorization [HB1545</w:t>
      </w:r>
      <w:r>
        <w:t>]: The TABC was reauthorized after its sunset review. The effective dates on portions of this bill vary widely, from September of 2019 all the way through September of 2021. Please read the bill itself for specific dates. The reauthorization act also made several substantive changes, including (but not limited to):</w:t>
      </w:r>
    </w:p>
    <w:p w:rsidR="009A32D7" w:rsidRDefault="00D72E89">
      <w:pPr>
        <w:pStyle w:val="BodyA"/>
        <w:numPr>
          <w:ilvl w:val="0"/>
          <w:numId w:val="45"/>
        </w:numPr>
        <w:spacing w:line="240" w:lineRule="auto"/>
      </w:pPr>
      <w:r>
        <w:t>expanded the number of commissioners from three to five;</w:t>
      </w:r>
    </w:p>
    <w:p w:rsidR="009A32D7" w:rsidRDefault="00D72E89">
      <w:pPr>
        <w:pStyle w:val="BodyA"/>
        <w:numPr>
          <w:ilvl w:val="0"/>
          <w:numId w:val="45"/>
        </w:numPr>
        <w:spacing w:line="240" w:lineRule="auto"/>
      </w:pPr>
      <w:r>
        <w:t>reduced the number of license- and permit-types from 75 to 36;</w:t>
      </w:r>
    </w:p>
    <w:p w:rsidR="009A32D7" w:rsidRDefault="00D72E89">
      <w:pPr>
        <w:pStyle w:val="BodyA"/>
        <w:numPr>
          <w:ilvl w:val="0"/>
          <w:numId w:val="45"/>
        </w:numPr>
        <w:spacing w:line="240" w:lineRule="auto"/>
      </w:pPr>
      <w:r>
        <w:t>combined beer and ale into a single category; and</w:t>
      </w:r>
    </w:p>
    <w:p w:rsidR="009A32D7" w:rsidRDefault="00D72E89">
      <w:pPr>
        <w:pStyle w:val="BodyA"/>
        <w:numPr>
          <w:ilvl w:val="0"/>
          <w:numId w:val="45"/>
        </w:numPr>
        <w:spacing w:line="240" w:lineRule="auto"/>
      </w:pPr>
      <w:r>
        <w:t>revisions to the enforcement, inspection, and other processes.</w:t>
      </w:r>
    </w:p>
    <w:p w:rsidR="009A32D7" w:rsidRPr="007C083F" w:rsidRDefault="00D72E89" w:rsidP="00192D64">
      <w:pPr>
        <w:rPr>
          <w:rStyle w:val="None"/>
          <w:rFonts w:ascii="Arial" w:hAnsi="Arial" w:cs="Arial"/>
          <w:b/>
          <w:bCs/>
          <w:color w:val="00A2FF"/>
          <w:u w:color="00A2FF"/>
          <w14:textOutline w14:w="12700" w14:cap="flat" w14:cmpd="sng" w14:algn="ctr">
            <w14:noFill/>
            <w14:prstDash w14:val="solid"/>
            <w14:miter w14:lim="400000"/>
          </w14:textOutline>
        </w:rPr>
      </w:pPr>
      <w:r w:rsidRPr="007C083F">
        <w:rPr>
          <w:rStyle w:val="None"/>
          <w:rFonts w:ascii="Arial" w:hAnsi="Arial" w:cs="Arial"/>
          <w:b/>
          <w:bCs/>
          <w:color w:val="00A2FF"/>
          <w:u w:color="00A2FF"/>
        </w:rPr>
        <w:t>Texas Property Code</w:t>
      </w:r>
    </w:p>
    <w:p w:rsidR="009A32D7" w:rsidRDefault="00D72E89">
      <w:pPr>
        <w:pStyle w:val="BodyA"/>
        <w:spacing w:line="240" w:lineRule="auto"/>
        <w:jc w:val="both"/>
        <w:rPr>
          <w:rStyle w:val="None"/>
          <w:b/>
          <w:bCs/>
        </w:rPr>
      </w:pPr>
      <w:r>
        <w:rPr>
          <w:rStyle w:val="None"/>
          <w:b/>
          <w:bCs/>
        </w:rPr>
        <w:t xml:space="preserve">82.121, POSSESSION OF FIREARM OR FIREARM AMMUNITION ON CONDOMINIUM PROPERTY; 92.026, POSSESSION OF FIREARMS OR FIREARMS AMMUNITION ON LEASED PREMISES; and 94.257, POSSESSION OF FIREARM OR FIREARM AMMUNITION ON LEASED PREMISES [HB302]: </w:t>
      </w:r>
      <w:r>
        <w:t xml:space="preserve">Property Code §§82.121, 92.026, and 94.257 are amended to state that these properties may not prohibit a tenant or tenant’s guest from lawfully possessing, carrying, transporting, or storing a firearm, any part of a firearm, or firearm ammunition in the applicable areas.  </w:t>
      </w:r>
    </w:p>
    <w:p w:rsidR="009A32D7" w:rsidRDefault="00D72E89">
      <w:pPr>
        <w:pStyle w:val="BodyA"/>
        <w:spacing w:line="240" w:lineRule="auto"/>
        <w:jc w:val="both"/>
        <w:rPr>
          <w:rStyle w:val="None"/>
          <w:b/>
          <w:bCs/>
          <w:color w:val="00A2FF"/>
          <w:u w:color="00A2FF"/>
        </w:rPr>
      </w:pPr>
      <w:r>
        <w:rPr>
          <w:rStyle w:val="None"/>
          <w:b/>
          <w:bCs/>
          <w:color w:val="00A2FF"/>
          <w:u w:color="00A2FF"/>
        </w:rPr>
        <w:t>Texas Occupations Code</w:t>
      </w:r>
    </w:p>
    <w:p w:rsidR="009A32D7" w:rsidRDefault="00D72E89">
      <w:pPr>
        <w:pStyle w:val="BodyA"/>
        <w:spacing w:line="240" w:lineRule="auto"/>
        <w:jc w:val="both"/>
      </w:pPr>
      <w:r>
        <w:rPr>
          <w:rStyle w:val="None"/>
          <w:b/>
          <w:bCs/>
        </w:rPr>
        <w:t xml:space="preserve">108.052, DENIAL OF LICENSE [HB1899].  </w:t>
      </w:r>
      <w:r>
        <w:t xml:space="preserve">House Bill 1899 makes two important changes for medical professionals who have been convicted of certain offenses or who are required to register as a sex offender. Firstly, under OC §108.052, the state shall </w:t>
      </w:r>
      <w:r>
        <w:rPr>
          <w:rStyle w:val="None"/>
          <w:b/>
          <w:bCs/>
          <w:u w:val="single"/>
        </w:rPr>
        <w:t>deny</w:t>
      </w:r>
      <w:r>
        <w:t xml:space="preserve"> an application for a license as a health care professional for an applicant:</w:t>
      </w:r>
    </w:p>
    <w:p w:rsidR="009A32D7" w:rsidRDefault="00D72E89">
      <w:pPr>
        <w:pStyle w:val="BodyA"/>
        <w:numPr>
          <w:ilvl w:val="0"/>
          <w:numId w:val="47"/>
        </w:numPr>
        <w:spacing w:line="240" w:lineRule="auto"/>
        <w:jc w:val="both"/>
      </w:pPr>
      <w:r>
        <w:t xml:space="preserve">who is required to register as a sex offender under Chapter 62, Code of Criminal Procedure [Sex Offender Registration Program]; </w:t>
      </w:r>
      <w:r>
        <w:rPr>
          <w:rStyle w:val="None"/>
          <w:b/>
          <w:bCs/>
          <w:u w:val="single"/>
        </w:rPr>
        <w:t>or</w:t>
      </w:r>
      <w:r>
        <w:t xml:space="preserve"> </w:t>
      </w:r>
    </w:p>
    <w:p w:rsidR="009A32D7" w:rsidRDefault="00D72E89">
      <w:pPr>
        <w:pStyle w:val="BodyA"/>
        <w:numPr>
          <w:ilvl w:val="0"/>
          <w:numId w:val="47"/>
        </w:numPr>
        <w:spacing w:line="240" w:lineRule="auto"/>
        <w:jc w:val="both"/>
      </w:pPr>
      <w:r>
        <w:t xml:space="preserve">who has been previously convicted of or placed on deferred adjudication community supervision for the commission of a felony offense involving the use or threat of force; </w:t>
      </w:r>
      <w:r>
        <w:rPr>
          <w:rStyle w:val="None"/>
          <w:b/>
          <w:bCs/>
          <w:u w:val="single"/>
        </w:rPr>
        <w:t>or</w:t>
      </w:r>
      <w:r>
        <w:t xml:space="preserve"> </w:t>
      </w:r>
    </w:p>
    <w:p w:rsidR="009A32D7" w:rsidRDefault="00D72E89">
      <w:pPr>
        <w:pStyle w:val="BodyA"/>
        <w:numPr>
          <w:ilvl w:val="0"/>
          <w:numId w:val="47"/>
        </w:numPr>
        <w:spacing w:line="240" w:lineRule="auto"/>
        <w:jc w:val="both"/>
      </w:pPr>
      <w:r>
        <w:t>has been previously convicted of or placed on deferred adjudication community supervision for the commission of an offense under §§22.011 [Sexual Assault], 22.02 [Aggravated Assault], 22.021 [Aggravated Sexual Assault], or 22.04 [Injury To A Child, Elderly Individual, Or Disabled Individual], Penal Code</w:t>
      </w:r>
      <w:r>
        <w:rPr>
          <w:rStyle w:val="None"/>
          <w:vertAlign w:val="superscript"/>
        </w:rPr>
        <w:footnoteReference w:id="25"/>
      </w:r>
      <w:r>
        <w:t xml:space="preserve">, </w:t>
      </w:r>
      <w:r>
        <w:rPr>
          <w:rStyle w:val="None"/>
          <w:b/>
          <w:bCs/>
          <w:u w:val="single"/>
        </w:rPr>
        <w:t>if</w:t>
      </w:r>
      <w:r>
        <w:t xml:space="preserve"> the offense was committed:</w:t>
      </w:r>
    </w:p>
    <w:p w:rsidR="009A32D7" w:rsidRDefault="00D72E89" w:rsidP="007E1053">
      <w:pPr>
        <w:pStyle w:val="BodyA"/>
        <w:numPr>
          <w:ilvl w:val="3"/>
          <w:numId w:val="47"/>
        </w:numPr>
        <w:spacing w:line="240" w:lineRule="auto"/>
        <w:jc w:val="both"/>
      </w:pPr>
      <w:r>
        <w:t xml:space="preserve">when the applicant held a license as a health care professional in this state or another state; </w:t>
      </w:r>
      <w:r>
        <w:rPr>
          <w:rStyle w:val="None"/>
          <w:b/>
          <w:bCs/>
          <w:u w:val="single"/>
        </w:rPr>
        <w:t>and</w:t>
      </w:r>
    </w:p>
    <w:p w:rsidR="009A32D7" w:rsidRDefault="00D72E89" w:rsidP="007E1053">
      <w:pPr>
        <w:pStyle w:val="BodyA"/>
        <w:numPr>
          <w:ilvl w:val="2"/>
          <w:numId w:val="48"/>
        </w:numPr>
        <w:spacing w:line="240" w:lineRule="auto"/>
        <w:jc w:val="both"/>
      </w:pPr>
      <w:r>
        <w:t xml:space="preserve">in the course of providing services within the scope of the applicant's license; </w:t>
      </w:r>
      <w:r>
        <w:rPr>
          <w:rStyle w:val="None"/>
          <w:b/>
          <w:bCs/>
          <w:u w:val="single"/>
        </w:rPr>
        <w:t>and</w:t>
      </w:r>
    </w:p>
    <w:p w:rsidR="009A32D7" w:rsidRDefault="00D72E89" w:rsidP="007E1053">
      <w:pPr>
        <w:pStyle w:val="BodyA"/>
        <w:numPr>
          <w:ilvl w:val="2"/>
          <w:numId w:val="48"/>
        </w:numPr>
        <w:spacing w:line="240" w:lineRule="auto"/>
        <w:jc w:val="both"/>
      </w:pPr>
      <w:r>
        <w:t>the victim of the offense was a patient of the applicant.</w:t>
      </w:r>
    </w:p>
    <w:p w:rsidR="009A32D7" w:rsidRDefault="00D72E89">
      <w:pPr>
        <w:pStyle w:val="BodyA"/>
        <w:spacing w:line="240" w:lineRule="auto"/>
        <w:jc w:val="both"/>
      </w:pPr>
      <w:r>
        <w:t xml:space="preserve">Additionally, HB 1899 makes substantive changes for medical professionals who </w:t>
      </w:r>
      <w:r>
        <w:rPr>
          <w:rStyle w:val="None"/>
          <w:i/>
          <w:iCs/>
        </w:rPr>
        <w:t>already hold</w:t>
      </w:r>
      <w:r>
        <w:t xml:space="preserve"> a Texas license or certificate:</w:t>
      </w:r>
    </w:p>
    <w:p w:rsidR="009A32D7" w:rsidRDefault="00D72E89">
      <w:pPr>
        <w:pStyle w:val="BodyA"/>
        <w:spacing w:line="240" w:lineRule="auto"/>
        <w:jc w:val="both"/>
      </w:pPr>
      <w:r>
        <w:rPr>
          <w:rStyle w:val="None"/>
          <w:b/>
          <w:bCs/>
        </w:rPr>
        <w:t>108.053, REVOCATION OF LICENSE.</w:t>
      </w:r>
      <w:r>
        <w:t xml:space="preserve"> The license of a health care professional is </w:t>
      </w:r>
      <w:r>
        <w:rPr>
          <w:rStyle w:val="None"/>
          <w:b/>
          <w:bCs/>
          <w:u w:val="single"/>
        </w:rPr>
        <w:t>revoked</w:t>
      </w:r>
      <w:r>
        <w:t xml:space="preserve"> if the health care professional is convicted or placed on deferred adjudication community supervision for an offense described by §108.052(2) or (3) above; or is required to register as a sex offender under Chapter 62, Code of Criminal Procedure.</w:t>
      </w:r>
    </w:p>
    <w:p w:rsidR="009A32D7" w:rsidRDefault="00D72E89">
      <w:pPr>
        <w:pStyle w:val="BodyA"/>
        <w:spacing w:line="240" w:lineRule="auto"/>
        <w:jc w:val="both"/>
      </w:pPr>
      <w:r>
        <w:t>The professionals may re-apply with the state once the period of registration as a sex offender expires.</w:t>
      </w:r>
    </w:p>
    <w:p w:rsidR="009A32D7" w:rsidRDefault="00D72E89">
      <w:pPr>
        <w:pStyle w:val="BodyA"/>
        <w:spacing w:line="240" w:lineRule="auto"/>
        <w:jc w:val="both"/>
      </w:pPr>
      <w:r>
        <w:rPr>
          <w:rStyle w:val="None"/>
          <w:b/>
          <w:bCs/>
        </w:rPr>
        <w:t>1701.2561, FIREARMS TRAINING FOR COUNTY JAILERS [HB3503 and HB1552]:</w:t>
      </w:r>
      <w:r>
        <w:t xml:space="preserve"> House Bill 3503 and House Bill 1552 add this section, which reads:</w:t>
      </w:r>
    </w:p>
    <w:p w:rsidR="009A32D7" w:rsidRDefault="00D72E89">
      <w:pPr>
        <w:pStyle w:val="BodyA"/>
        <w:spacing w:line="240" w:lineRule="auto"/>
        <w:jc w:val="both"/>
      </w:pPr>
      <w:r>
        <w:t>(a) The commission [i.e., TCOLE] shall develop a basic training program in the use of firearms by county jailers. The program must provide instruction in:</w:t>
      </w:r>
    </w:p>
    <w:p w:rsidR="009A32D7" w:rsidRDefault="00D72E89">
      <w:pPr>
        <w:pStyle w:val="BodyA"/>
        <w:spacing w:line="240" w:lineRule="auto"/>
        <w:ind w:left="720"/>
        <w:jc w:val="both"/>
      </w:pPr>
      <w:r>
        <w:t>(1) legal limitations on the use of firearms and on the powers and authority of jailers;</w:t>
      </w:r>
    </w:p>
    <w:p w:rsidR="009A32D7" w:rsidRDefault="00D72E89">
      <w:pPr>
        <w:pStyle w:val="BodyA"/>
        <w:spacing w:line="240" w:lineRule="auto"/>
        <w:ind w:left="720"/>
        <w:jc w:val="both"/>
      </w:pPr>
      <w:r>
        <w:t>(2) range firing and procedure;</w:t>
      </w:r>
    </w:p>
    <w:p w:rsidR="009A32D7" w:rsidRDefault="00D72E89">
      <w:pPr>
        <w:pStyle w:val="BodyA"/>
        <w:spacing w:line="240" w:lineRule="auto"/>
        <w:ind w:left="720"/>
        <w:jc w:val="both"/>
      </w:pPr>
      <w:r>
        <w:t>(3) firearms safety and maintenance; and</w:t>
      </w:r>
    </w:p>
    <w:p w:rsidR="009A32D7" w:rsidRDefault="00D72E89">
      <w:pPr>
        <w:pStyle w:val="BodyA"/>
        <w:spacing w:line="240" w:lineRule="auto"/>
        <w:ind w:left="720"/>
        <w:jc w:val="both"/>
      </w:pPr>
      <w:r>
        <w:t>(4) other topics determined by the commission to be necessary for the responsible use of firearms by jailers.</w:t>
      </w:r>
    </w:p>
    <w:p w:rsidR="009A32D7" w:rsidRDefault="00D72E89">
      <w:pPr>
        <w:pStyle w:val="BodyA"/>
        <w:spacing w:line="240" w:lineRule="auto"/>
        <w:jc w:val="both"/>
      </w:pPr>
      <w:r>
        <w:t>(b) The commission shall administer the training program and shall issue a certificate of firearms proficiency to each county jailer the commission determines has successfully completed the program.</w:t>
      </w:r>
    </w:p>
    <w:p w:rsidR="009A32D7" w:rsidRDefault="00D72E89">
      <w:pPr>
        <w:pStyle w:val="BodyA"/>
        <w:spacing w:line="240" w:lineRule="auto"/>
        <w:jc w:val="both"/>
      </w:pPr>
      <w:r>
        <w:t>(c) A county jailer who is issued a certificate of firearms proficiency and who maintains weapons proficiency in accordance with Section 1701.355 may carry a firearm:</w:t>
      </w:r>
    </w:p>
    <w:p w:rsidR="009A32D7" w:rsidRDefault="00D72E89">
      <w:pPr>
        <w:pStyle w:val="BodyA"/>
        <w:spacing w:line="240" w:lineRule="auto"/>
        <w:ind w:left="720"/>
        <w:jc w:val="both"/>
      </w:pPr>
      <w:r>
        <w:t>(1) during the course of performing duties as a county jailer, including while transporting persons confined in the county jail; and</w:t>
      </w:r>
    </w:p>
    <w:p w:rsidR="009A32D7" w:rsidRDefault="00D72E89">
      <w:pPr>
        <w:pStyle w:val="BodyA"/>
        <w:spacing w:line="240" w:lineRule="auto"/>
        <w:ind w:left="720"/>
        <w:jc w:val="both"/>
      </w:pPr>
      <w:r>
        <w:t>(2) while traveling to or from the jailer's place of assignment.</w:t>
      </w:r>
    </w:p>
    <w:p w:rsidR="009A32D7" w:rsidRDefault="00D72E89">
      <w:pPr>
        <w:pStyle w:val="BodyA"/>
        <w:spacing w:line="240" w:lineRule="auto"/>
        <w:jc w:val="both"/>
      </w:pPr>
      <w:r>
        <w:rPr>
          <w:rStyle w:val="None"/>
          <w:shd w:val="clear" w:color="auto" w:fill="FFFF00"/>
        </w:rPr>
        <w:t>Note that the HB3503</w:t>
      </w:r>
      <w:r>
        <w:rPr>
          <w:rStyle w:val="None"/>
          <w:shd w:val="clear" w:color="auto" w:fill="FFFF00"/>
          <w:vertAlign w:val="superscript"/>
        </w:rPr>
        <w:footnoteReference w:id="26"/>
      </w:r>
      <w:r>
        <w:rPr>
          <w:rStyle w:val="None"/>
          <w:shd w:val="clear" w:color="auto" w:fill="FFFF00"/>
        </w:rPr>
        <w:t xml:space="preserve"> portion of this change went into effect as soon as the Governor signed it on </w:t>
      </w:r>
      <w:r>
        <w:rPr>
          <w:rStyle w:val="None"/>
          <w:b/>
          <w:bCs/>
          <w:u w:val="single"/>
          <w:shd w:val="clear" w:color="auto" w:fill="FFFF00"/>
        </w:rPr>
        <w:t>June 15, 2019</w:t>
      </w:r>
      <w:r>
        <w:rPr>
          <w:rStyle w:val="None"/>
          <w:shd w:val="clear" w:color="auto" w:fill="FFFF00"/>
        </w:rPr>
        <w:t>.</w:t>
      </w:r>
      <w:r>
        <w:t xml:space="preserve"> The HB1552 portion goes into effect on September 1, 2019.</w:t>
      </w:r>
    </w:p>
    <w:p w:rsidR="009A32D7" w:rsidRDefault="00D72E89">
      <w:pPr>
        <w:pStyle w:val="BodyA"/>
        <w:spacing w:line="240" w:lineRule="auto"/>
        <w:jc w:val="both"/>
      </w:pPr>
      <w:r>
        <w:rPr>
          <w:rStyle w:val="None"/>
          <w:b/>
          <w:bCs/>
        </w:rPr>
        <w:t xml:space="preserve">1701.310, APPOINTMENT OF COUNTY JAILER; TRAINING REQUIRED [HB4468]: </w:t>
      </w:r>
      <w:r>
        <w:t>House Bill 4468 amends the Occupations Code to require a county jailer appointed on a temporary basis to be enrolled in the preparatory training program for county jailers within 90 days; it further prohibits a jailer so appointed from being promoted to a supervisory position in a county jail.</w:t>
      </w:r>
    </w:p>
    <w:p w:rsidR="009A32D7" w:rsidRDefault="00D72E89">
      <w:pPr>
        <w:pStyle w:val="BodyA"/>
        <w:spacing w:line="240" w:lineRule="auto"/>
        <w:jc w:val="both"/>
      </w:pPr>
      <w:r>
        <w:t>Of additional interest, House Bill 4468 amends the Government Code to set out provisions relating to mental health professional access in county jails and community mental health programs in certain counties. The bill increases the maximum capacity of a county jail for which the Texas Commission on Jail Standards may provide a grant from the prisoner safety fund to a county for capital improvements related to the provision of mental health services. The bill authorizes the Department of State Health Services to award a grant to an entity for the purpose of establishing a community mental health program in a county with a population of fewer than 250,000, provided the entity meets certain requirements. The bill requires the compliance status of certain municipal or county jail facilities operated by a private entity to be reviewed by TCJS when the facility is issued a notice of noncompliance.</w:t>
      </w:r>
    </w:p>
    <w:p w:rsidR="009A32D7" w:rsidRDefault="00D72E89">
      <w:pPr>
        <w:pStyle w:val="BodyA"/>
        <w:spacing w:line="240" w:lineRule="auto"/>
        <w:jc w:val="both"/>
      </w:pPr>
      <w:r>
        <w:rPr>
          <w:rStyle w:val="None"/>
          <w:b/>
          <w:bCs/>
        </w:rPr>
        <w:t>1701.355, CONTINUING DEMONSTRATION OF WEAPONS PROFICIENCY [HB3503 and HB1552]:</w:t>
      </w:r>
      <w:r>
        <w:t xml:space="preserve"> House Bill 3503 and House Bill 1552 amend this section by adding Subsection (a-1) as follows:</w:t>
      </w:r>
    </w:p>
    <w:p w:rsidR="009A32D7" w:rsidRDefault="00D72E89">
      <w:pPr>
        <w:pStyle w:val="BodyA"/>
        <w:spacing w:line="240" w:lineRule="auto"/>
        <w:jc w:val="both"/>
      </w:pPr>
      <w:r>
        <w:t>(a-1) An agency that employs one or more county jailers who have been issued a certificate of firearms proficiency under Section 1701.2561 shall designate a firearms proficiency officer and require the jailers to demonstrate weapons proficiency to the firearms proficiency officer at least annually. The agency shall maintain records of the weapons proficiency of the agency's jailers. A county jailer's failure to demonstrate weapons proficiency does not affect the county jailer's license under this chapter.</w:t>
      </w:r>
    </w:p>
    <w:p w:rsidR="009A32D7" w:rsidRDefault="00D72E89">
      <w:pPr>
        <w:pStyle w:val="BodyA"/>
        <w:spacing w:line="240" w:lineRule="auto"/>
        <w:jc w:val="both"/>
      </w:pPr>
      <w:r>
        <w:t xml:space="preserve">Subsection (b) is amended by adding “or county jailer.” </w:t>
      </w:r>
      <w:r>
        <w:rPr>
          <w:rStyle w:val="None"/>
          <w:shd w:val="clear" w:color="auto" w:fill="FFFF00"/>
        </w:rPr>
        <w:t xml:space="preserve">The HB3503 portion of this change went into effect as soon as the Governor signed it on </w:t>
      </w:r>
      <w:r>
        <w:rPr>
          <w:rStyle w:val="None"/>
          <w:b/>
          <w:bCs/>
          <w:u w:val="single"/>
          <w:shd w:val="clear" w:color="auto" w:fill="FFFF00"/>
        </w:rPr>
        <w:t>June 15, 2019</w:t>
      </w:r>
      <w:r>
        <w:rPr>
          <w:rStyle w:val="None"/>
          <w:shd w:val="clear" w:color="auto" w:fill="FFFF00"/>
        </w:rPr>
        <w:t>.</w:t>
      </w:r>
      <w:r>
        <w:t xml:space="preserve"> The HB1552 portion goes into effect on September 1, 2019. Please see footnote 25 for more information.</w:t>
      </w:r>
    </w:p>
    <w:p w:rsidR="009A32D7" w:rsidRDefault="00D72E89">
      <w:pPr>
        <w:pStyle w:val="BodyA"/>
        <w:spacing w:line="240" w:lineRule="auto"/>
        <w:jc w:val="both"/>
      </w:pPr>
      <w:r>
        <w:rPr>
          <w:rStyle w:val="None"/>
          <w:b/>
          <w:bCs/>
        </w:rPr>
        <w:t>1701.357, WEAPONS PROFICIENCY FOR QUALIFIED RETIRED LAW ENFORCEMENT OFFICERS [HB1552]</w:t>
      </w:r>
      <w:r>
        <w:t xml:space="preserve">: House Bill 1552 does several things, including simplifying the title of this section (it was formerly </w:t>
      </w:r>
      <w:r>
        <w:rPr>
          <w:rStyle w:val="None"/>
          <w:i/>
          <w:iCs/>
        </w:rPr>
        <w:t>Weapons Proficiency for Certain Retired Peace Officers and Federal Law Enforcement Officers and for Former Reserve Law Enforcement Officers</w:t>
      </w:r>
      <w:r>
        <w:t xml:space="preserve">). This section is further amended by changing the definition of “qualified retired law enforcement officer” to mirror the meaning of that term in </w:t>
      </w:r>
      <w:hyperlink r:id="rId27" w:history="1">
        <w:r>
          <w:rPr>
            <w:rStyle w:val="Hyperlink1"/>
          </w:rPr>
          <w:t>18 U.S.C. §926C</w:t>
        </w:r>
      </w:hyperlink>
      <w:r>
        <w:t xml:space="preserve">. The previous descriptions of whom the statute applies to are stricken, and it now applies to only those who meet this definition. </w:t>
      </w:r>
    </w:p>
    <w:p w:rsidR="009A32D7" w:rsidRDefault="00D72E89">
      <w:pPr>
        <w:pStyle w:val="BodyA"/>
        <w:spacing w:line="240" w:lineRule="auto"/>
        <w:jc w:val="both"/>
      </w:pPr>
      <w:r>
        <w:t xml:space="preserve">The remainder of the section is amended to conform to the new definition and application. The officer must have completed </w:t>
      </w:r>
      <w:r>
        <w:rPr>
          <w:rStyle w:val="None"/>
          <w:u w:val="single"/>
        </w:rPr>
        <w:t>10 cumulative years of service</w:t>
      </w:r>
      <w:r>
        <w:t>, reduced from 15 years. The previously required proof that the officer be entitled to receive an annuity, if one was available, is removed. The expiration of these certifications is reduced from the second anniversary to the first anniversary. These amendments bring the Texas statutes in line with applicable federal law.</w:t>
      </w:r>
    </w:p>
    <w:p w:rsidR="009A32D7" w:rsidRDefault="00D72E89">
      <w:pPr>
        <w:pStyle w:val="BodyA"/>
        <w:spacing w:line="240" w:lineRule="auto"/>
        <w:jc w:val="both"/>
        <w:rPr>
          <w:rStyle w:val="None"/>
          <w:b/>
          <w:bCs/>
          <w:color w:val="00A2FF"/>
          <w:u w:color="00A2FF"/>
        </w:rPr>
      </w:pPr>
      <w:r>
        <w:rPr>
          <w:rStyle w:val="None"/>
          <w:b/>
          <w:bCs/>
          <w:color w:val="00A2FF"/>
          <w:u w:color="00A2FF"/>
        </w:rPr>
        <w:t>Government Code</w:t>
      </w:r>
    </w:p>
    <w:p w:rsidR="009A32D7" w:rsidRDefault="00D72E89">
      <w:pPr>
        <w:pStyle w:val="BodyA"/>
        <w:spacing w:line="240" w:lineRule="auto"/>
        <w:jc w:val="both"/>
      </w:pPr>
      <w:r>
        <w:rPr>
          <w:rStyle w:val="None"/>
          <w:b/>
          <w:bCs/>
        </w:rPr>
        <w:t xml:space="preserve">Subchapter Q, CAMO ALERT FOR MISSING MILITARY MEMBERS [HB833]: </w:t>
      </w:r>
      <w:r>
        <w:t>House Bill 833 creates an entirely new subchapter (made up of GC §§411.461 through 411.471) that deals with “Camo Alerts” for missing military members who’ve chosen to participate in the program and who suffer from PTSD, TBI, or other mental illness.</w:t>
      </w:r>
    </w:p>
    <w:p w:rsidR="009A32D7" w:rsidRDefault="00D72E89">
      <w:pPr>
        <w:pStyle w:val="BodyA"/>
        <w:spacing w:line="240" w:lineRule="auto"/>
        <w:jc w:val="both"/>
      </w:pPr>
      <w:r>
        <w:rPr>
          <w:rStyle w:val="None"/>
          <w:b/>
          <w:bCs/>
        </w:rPr>
        <w:t xml:space="preserve">Subchapter Q, ALERT FOR MISSING ADULTS [HB1769]: </w:t>
      </w:r>
      <w:r>
        <w:t>House Bill 1769 created another type of alert, one that is designed for missing or endangered adults (ages 18-64) who don’t qualify for an AMBER or Silver Alert because of their age. Adults who qualify for this new alert are those who have been missing for fewer than 72 hours but are in imminent danger of bodily injury or death or who may have been abducted or kidnapped.</w:t>
      </w:r>
    </w:p>
    <w:p w:rsidR="009A32D7" w:rsidRDefault="00D72E89">
      <w:pPr>
        <w:pStyle w:val="BodyA"/>
        <w:spacing w:line="240" w:lineRule="auto"/>
        <w:jc w:val="both"/>
      </w:pPr>
      <w:r>
        <w:t xml:space="preserve">Although this bill uses the same new “Subchapter Q” designation as the Camo Alert legislation from HB 833 above, the two laws don’t conflict with one another – so they’re both in effect and they’ll both use the same subchapter until the legislature meets next time to clean up the duplication. </w:t>
      </w:r>
    </w:p>
    <w:p w:rsidR="009A32D7" w:rsidRDefault="00D72E89">
      <w:pPr>
        <w:pStyle w:val="BodyA"/>
        <w:spacing w:line="240" w:lineRule="auto"/>
        <w:jc w:val="both"/>
        <w:rPr>
          <w:rStyle w:val="None"/>
          <w:b/>
          <w:bCs/>
        </w:rPr>
      </w:pPr>
      <w:r>
        <w:rPr>
          <w:rStyle w:val="None"/>
          <w:b/>
          <w:bCs/>
        </w:rPr>
        <w:t xml:space="preserve">411.1992, FORMER RESERVE LAW ENFORCEMENT OFFICERS [HB1552]: </w:t>
      </w:r>
      <w:r>
        <w:t xml:space="preserve">Similar to what was explained above in the synopsis for OC §1701.357, </w:t>
      </w:r>
      <w:r>
        <w:rPr>
          <w:rStyle w:val="None"/>
          <w:i/>
          <w:iCs/>
        </w:rPr>
        <w:t xml:space="preserve">Weapons Proficiency for Qualified Retired Law Enforcement Officers, </w:t>
      </w:r>
      <w:r>
        <w:t>House Bill 1552 amends this statute to bring this section into compliance with federal law and the Occupations Code changes by reducing the required years of cumulative service to 10 from the previously required 15.</w:t>
      </w:r>
      <w:r>
        <w:rPr>
          <w:rStyle w:val="None"/>
          <w:b/>
          <w:bCs/>
        </w:rPr>
        <w:t xml:space="preserve"> </w:t>
      </w:r>
    </w:p>
    <w:p w:rsidR="009A32D7" w:rsidRDefault="00D72E89">
      <w:pPr>
        <w:pStyle w:val="BodyA"/>
        <w:spacing w:line="240" w:lineRule="auto"/>
        <w:jc w:val="both"/>
      </w:pPr>
      <w:r>
        <w:rPr>
          <w:rStyle w:val="None"/>
          <w:b/>
          <w:bCs/>
        </w:rPr>
        <w:t xml:space="preserve">552.004, PRESERVATION OF INFORMATION [SB944]: </w:t>
      </w:r>
      <w:r>
        <w:t xml:space="preserve">Senate Bill 944 amends the Government Code to ensure that </w:t>
      </w:r>
      <w:r>
        <w:rPr>
          <w:rStyle w:val="None"/>
          <w:b/>
          <w:bCs/>
          <w:u w:val="single"/>
        </w:rPr>
        <w:t>public information</w:t>
      </w:r>
      <w:r>
        <w:t xml:space="preserve"> on a </w:t>
      </w:r>
      <w:r>
        <w:rPr>
          <w:rStyle w:val="None"/>
          <w:b/>
          <w:bCs/>
          <w:u w:val="single"/>
        </w:rPr>
        <w:t>privately-owned device</w:t>
      </w:r>
      <w:r>
        <w:t xml:space="preserve"> [read: your </w:t>
      </w:r>
      <w:r>
        <w:rPr>
          <w:rStyle w:val="None"/>
          <w:b/>
          <w:bCs/>
          <w:u w:val="single"/>
        </w:rPr>
        <w:t>personal</w:t>
      </w:r>
      <w:r>
        <w:t xml:space="preserve"> cell phone, tablet, or computer] of a </w:t>
      </w:r>
      <w:r>
        <w:rPr>
          <w:rStyle w:val="None"/>
          <w:b/>
          <w:bCs/>
          <w:u w:val="single"/>
        </w:rPr>
        <w:t>current or former officer or employee of a governmental body</w:t>
      </w:r>
      <w:r>
        <w:t xml:space="preserve"> is </w:t>
      </w:r>
      <w:r>
        <w:rPr>
          <w:rStyle w:val="None"/>
          <w:b/>
          <w:bCs/>
          <w:u w:val="single"/>
        </w:rPr>
        <w:t>transferred to the governmental body or appropriately preserved as required by §552.004(a)</w:t>
      </w:r>
      <w:r>
        <w:t xml:space="preserve">. The bill creates an exception to public disclosure for certain sensitive health care information. The bill updates the process for requesting information under the Public Information Act and requires the Office of the Attorney General to promulgate a standard request form. </w:t>
      </w:r>
    </w:p>
    <w:p w:rsidR="009A32D7" w:rsidRDefault="00D72E89">
      <w:pPr>
        <w:pStyle w:val="BodyA"/>
        <w:spacing w:line="240" w:lineRule="auto"/>
        <w:jc w:val="both"/>
        <w:rPr>
          <w:rStyle w:val="None"/>
          <w:b/>
          <w:bCs/>
        </w:rPr>
      </w:pPr>
      <w:r>
        <w:rPr>
          <w:rStyle w:val="None"/>
          <w:b/>
          <w:bCs/>
          <w:shd w:val="clear" w:color="auto" w:fill="FFFF00"/>
        </w:rPr>
        <w:t>Plain-language translation</w:t>
      </w:r>
      <w:r>
        <w:rPr>
          <w:rStyle w:val="None"/>
          <w:shd w:val="clear" w:color="auto" w:fill="FFFF00"/>
        </w:rPr>
        <w:t xml:space="preserve">: if you use your </w:t>
      </w:r>
      <w:r>
        <w:rPr>
          <w:rStyle w:val="None"/>
          <w:b/>
          <w:bCs/>
          <w:shd w:val="clear" w:color="auto" w:fill="FFFF00"/>
        </w:rPr>
        <w:t>personal device</w:t>
      </w:r>
      <w:r>
        <w:rPr>
          <w:rStyle w:val="None"/>
          <w:shd w:val="clear" w:color="auto" w:fill="FFFF00"/>
        </w:rPr>
        <w:t xml:space="preserve"> for </w:t>
      </w:r>
      <w:r>
        <w:rPr>
          <w:rStyle w:val="None"/>
          <w:b/>
          <w:bCs/>
          <w:shd w:val="clear" w:color="auto" w:fill="FFFF00"/>
        </w:rPr>
        <w:t>work-related</w:t>
      </w:r>
      <w:r>
        <w:rPr>
          <w:rStyle w:val="None"/>
          <w:shd w:val="clear" w:color="auto" w:fill="FFFF00"/>
        </w:rPr>
        <w:t xml:space="preserve"> texts, emails, etc., those texts, emails, etc., are </w:t>
      </w:r>
      <w:r>
        <w:rPr>
          <w:rStyle w:val="None"/>
          <w:b/>
          <w:bCs/>
          <w:shd w:val="clear" w:color="auto" w:fill="FFFF00"/>
        </w:rPr>
        <w:t>public property</w:t>
      </w:r>
      <w:r>
        <w:rPr>
          <w:rStyle w:val="None"/>
          <w:shd w:val="clear" w:color="auto" w:fill="FFFF00"/>
        </w:rPr>
        <w:t xml:space="preserve"> and are subject to the Texas </w:t>
      </w:r>
      <w:hyperlink r:id="rId28" w:history="1">
        <w:r w:rsidRPr="0044196E">
          <w:rPr>
            <w:rStyle w:val="Hyperlink7"/>
            <w:b/>
            <w:bCs/>
          </w:rPr>
          <w:t>Public Information Act</w:t>
        </w:r>
      </w:hyperlink>
      <w:r>
        <w:rPr>
          <w:rStyle w:val="None"/>
          <w:shd w:val="clear" w:color="auto" w:fill="FFFF00"/>
        </w:rPr>
        <w:t xml:space="preserve">. </w:t>
      </w:r>
      <w:r>
        <w:rPr>
          <w:rStyle w:val="None"/>
          <w:b/>
          <w:bCs/>
          <w:u w:val="single"/>
          <w:shd w:val="clear" w:color="auto" w:fill="FFFF00"/>
        </w:rPr>
        <w:t>The texts must be turned over to the government agency or preserved according to the applicable retention schedules.</w:t>
      </w:r>
    </w:p>
    <w:p w:rsidR="009A32D7" w:rsidRDefault="00D72E89">
      <w:pPr>
        <w:pStyle w:val="BodyA"/>
        <w:spacing w:line="240" w:lineRule="auto"/>
        <w:jc w:val="both"/>
      </w:pPr>
      <w:r>
        <w:rPr>
          <w:rStyle w:val="None"/>
          <w:b/>
          <w:bCs/>
        </w:rPr>
        <w:t xml:space="preserve">552.138, EXCEPTION: CONFIDENTIALITY OF FAMILY VIOLENCE SHELTER CENTER, VICTIMS OF TRAFFICKING SHELTER CENTER, AND SEXUAL ASSAULT PROGRAM INFORMATION [HB3091]: </w:t>
      </w:r>
      <w:r>
        <w:t>House Bill 3091 amends §552.138 by deleting the old subsection (b)(2) and replacing it with an entirely new subsection, (b-1), which states that “information that relates to the location or physical layout of a family violence shelter center or victims of trafficking shelter center is confidential.” Additionally, subsection (c) is amended by adding that the information that is confidential under Subsection (b-1) may be redacted by a governmental body.</w:t>
      </w:r>
    </w:p>
    <w:p w:rsidR="009A32D7" w:rsidRDefault="00D72E89">
      <w:pPr>
        <w:pStyle w:val="BodyA"/>
        <w:spacing w:line="240" w:lineRule="auto"/>
        <w:jc w:val="both"/>
      </w:pPr>
      <w:r>
        <w:rPr>
          <w:rStyle w:val="None"/>
          <w:b/>
          <w:bCs/>
        </w:rPr>
        <w:t xml:space="preserve">810.004, CERTAIN CORRECTIONS EMPLOYEES INELIGIBLE FOR RETIREMENT ANNUITY [SB1570]: </w:t>
      </w:r>
      <w:r>
        <w:t xml:space="preserve">Senate Bill 1570 takes aim at correctional employees who are convicted of certain qualifying felony offenses. A TDCJ correctional employee who is convicted of any felony offense that meets the definition of “qualifying felony” is ineligible to receive an ERS service retirement annuity. "Qualifying felony" means </w:t>
      </w:r>
      <w:r>
        <w:rPr>
          <w:rStyle w:val="None"/>
          <w:b/>
          <w:bCs/>
          <w:u w:val="single"/>
        </w:rPr>
        <w:t>any felony</w:t>
      </w:r>
      <w:r>
        <w:t xml:space="preserve"> involving an </w:t>
      </w:r>
      <w:r>
        <w:rPr>
          <w:rStyle w:val="None"/>
          <w:b/>
          <w:bCs/>
          <w:u w:val="single"/>
        </w:rPr>
        <w:t>incarcerated</w:t>
      </w:r>
      <w:r>
        <w:t xml:space="preserve"> member of a criminal street gang as defined by §71.01, Penal Code, including:</w:t>
      </w:r>
    </w:p>
    <w:p w:rsidR="009A32D7" w:rsidRDefault="00D72E89">
      <w:pPr>
        <w:pStyle w:val="BodyA"/>
        <w:numPr>
          <w:ilvl w:val="0"/>
          <w:numId w:val="50"/>
        </w:numPr>
        <w:spacing w:line="240" w:lineRule="auto"/>
        <w:jc w:val="both"/>
      </w:pPr>
      <w:r>
        <w:t>bribery;</w:t>
      </w:r>
    </w:p>
    <w:p w:rsidR="009A32D7" w:rsidRDefault="00D72E89">
      <w:pPr>
        <w:pStyle w:val="BodyA"/>
        <w:numPr>
          <w:ilvl w:val="0"/>
          <w:numId w:val="50"/>
        </w:numPr>
        <w:spacing w:line="240" w:lineRule="auto"/>
        <w:jc w:val="both"/>
      </w:pPr>
      <w:r>
        <w:t>the embezzlement, extortion, or other theft of public money;</w:t>
      </w:r>
    </w:p>
    <w:p w:rsidR="009A32D7" w:rsidRDefault="00D72E89">
      <w:pPr>
        <w:pStyle w:val="BodyA"/>
        <w:numPr>
          <w:ilvl w:val="0"/>
          <w:numId w:val="50"/>
        </w:numPr>
        <w:spacing w:line="240" w:lineRule="auto"/>
        <w:jc w:val="both"/>
      </w:pPr>
      <w:r>
        <w:t>perjury;</w:t>
      </w:r>
    </w:p>
    <w:p w:rsidR="009A32D7" w:rsidRDefault="00D72E89">
      <w:pPr>
        <w:pStyle w:val="BodyA"/>
        <w:numPr>
          <w:ilvl w:val="0"/>
          <w:numId w:val="50"/>
        </w:numPr>
        <w:spacing w:line="240" w:lineRule="auto"/>
        <w:jc w:val="both"/>
      </w:pPr>
      <w:r>
        <w:t>engaging in organized criminal activity;</w:t>
      </w:r>
    </w:p>
    <w:p w:rsidR="009A32D7" w:rsidRDefault="00D72E89">
      <w:pPr>
        <w:pStyle w:val="BodyA"/>
        <w:numPr>
          <w:ilvl w:val="0"/>
          <w:numId w:val="50"/>
        </w:numPr>
        <w:spacing w:line="240" w:lineRule="auto"/>
        <w:jc w:val="both"/>
      </w:pPr>
      <w:r>
        <w:t>tampering with governmental record;</w:t>
      </w:r>
    </w:p>
    <w:p w:rsidR="009A32D7" w:rsidRDefault="00D72E89">
      <w:pPr>
        <w:pStyle w:val="BodyA"/>
        <w:numPr>
          <w:ilvl w:val="0"/>
          <w:numId w:val="50"/>
        </w:numPr>
        <w:spacing w:line="240" w:lineRule="auto"/>
        <w:jc w:val="both"/>
      </w:pPr>
      <w:r>
        <w:t>misuse of official information;</w:t>
      </w:r>
    </w:p>
    <w:p w:rsidR="009A32D7" w:rsidRDefault="00D72E89">
      <w:pPr>
        <w:pStyle w:val="BodyA"/>
        <w:numPr>
          <w:ilvl w:val="0"/>
          <w:numId w:val="50"/>
        </w:numPr>
        <w:spacing w:line="240" w:lineRule="auto"/>
        <w:jc w:val="both"/>
      </w:pPr>
      <w:r>
        <w:t>abuse of official capacity; or</w:t>
      </w:r>
    </w:p>
    <w:p w:rsidR="009A32D7" w:rsidRDefault="00D72E89">
      <w:pPr>
        <w:pStyle w:val="BodyA"/>
        <w:numPr>
          <w:ilvl w:val="0"/>
          <w:numId w:val="50"/>
        </w:numPr>
        <w:spacing w:line="240" w:lineRule="auto"/>
        <w:jc w:val="both"/>
      </w:pPr>
      <w:r>
        <w:t>conspiracy or the attempt to commit any of the offenses described by Paragraphs (A)-(G).</w:t>
      </w:r>
    </w:p>
    <w:p w:rsidR="009A32D7" w:rsidRDefault="00D72E89">
      <w:pPr>
        <w:pStyle w:val="BodyA"/>
        <w:spacing w:line="240" w:lineRule="auto"/>
        <w:jc w:val="both"/>
      </w:pPr>
      <w:r>
        <w:rPr>
          <w:rStyle w:val="None"/>
          <w:shd w:val="clear" w:color="auto" w:fill="FFFF00"/>
        </w:rPr>
        <w:t xml:space="preserve">Note that this law went into effect as soon as the Governor signed it on </w:t>
      </w:r>
      <w:r>
        <w:rPr>
          <w:rStyle w:val="None"/>
          <w:b/>
          <w:bCs/>
          <w:u w:val="single"/>
          <w:shd w:val="clear" w:color="auto" w:fill="FFFF00"/>
        </w:rPr>
        <w:t>June 10, 2019</w:t>
      </w:r>
      <w:r>
        <w:rPr>
          <w:rStyle w:val="None"/>
          <w:shd w:val="clear" w:color="auto" w:fill="FFFF00"/>
        </w:rPr>
        <w:t>.</w:t>
      </w:r>
    </w:p>
    <w:p w:rsidR="009A32D7" w:rsidRDefault="00D72E89">
      <w:pPr>
        <w:pStyle w:val="BodyA"/>
        <w:spacing w:line="240" w:lineRule="auto"/>
        <w:jc w:val="both"/>
        <w:rPr>
          <w:rStyle w:val="None"/>
          <w:b/>
          <w:bCs/>
          <w:color w:val="01A1FF"/>
          <w:u w:color="01A1FF"/>
        </w:rPr>
      </w:pPr>
      <w:r>
        <w:rPr>
          <w:rStyle w:val="None"/>
          <w:b/>
          <w:bCs/>
          <w:color w:val="01A1FF"/>
          <w:u w:color="01A1FF"/>
        </w:rPr>
        <w:t>Local Government Code</w:t>
      </w:r>
    </w:p>
    <w:p w:rsidR="009A32D7" w:rsidRDefault="00D72E89">
      <w:pPr>
        <w:pStyle w:val="BodyA"/>
        <w:spacing w:line="240" w:lineRule="auto"/>
        <w:jc w:val="both"/>
      </w:pPr>
      <w:r>
        <w:rPr>
          <w:rStyle w:val="None"/>
          <w:b/>
          <w:bCs/>
        </w:rPr>
        <w:t>229.001, FIREARMS; AIR GUNS; KNIVES; EXPLOSIVES [HB3231]:</w:t>
      </w:r>
      <w:r>
        <w:t xml:space="preserve"> House Bill 3231 deals with further limitations and regulations for counties and municipalities when dealing with possession, carrying, and storage of firearms, air-guns, knives, ammunition or firearm or air-gun supplies and accessories. Municipalities may not adopt regulations relating to the transfer, possession, carrying, ownership, storage, transportation, licensing or registration of firearms, air-guns, knives, ammunition, or firearms or air-gun supplies or accessories. An ordinance, resolution, rule or policy adopted or enforced by a municipality, or an official action, including in any legislative, police power, or proprietary capacity, taken by an employee or agent of a municipality in violation of this section is void.</w:t>
      </w:r>
    </w:p>
    <w:p w:rsidR="009A32D7" w:rsidRPr="00EC6354" w:rsidRDefault="00D72E89">
      <w:pPr>
        <w:pStyle w:val="Heading"/>
        <w:rPr>
          <w:sz w:val="24"/>
          <w:szCs w:val="24"/>
        </w:rPr>
      </w:pPr>
      <w:r w:rsidRPr="00EC6354">
        <w:rPr>
          <w:rStyle w:val="None"/>
          <w:smallCaps w:val="0"/>
          <w:sz w:val="24"/>
          <w:szCs w:val="24"/>
        </w:rPr>
        <w:t>Education Code</w:t>
      </w:r>
    </w:p>
    <w:p w:rsidR="009A32D7" w:rsidRDefault="00D72E89">
      <w:pPr>
        <w:pStyle w:val="BodyA"/>
        <w:spacing w:line="240" w:lineRule="auto"/>
        <w:jc w:val="both"/>
      </w:pPr>
      <w:r>
        <w:rPr>
          <w:rStyle w:val="None"/>
          <w:b/>
          <w:bCs/>
        </w:rPr>
        <w:t xml:space="preserve">30.052, GOVERNANCE OF THE TEXAS SCHOOL FOR THE DEAF; and 37.081, SCHOOL DISTRICT PEACE OFFICERS, SCHOOL RESOURCE OFFICERS, AND SECURITY PERSONNEL [SB1707]: </w:t>
      </w:r>
      <w:r>
        <w:t>Senate Bill 1707 authorizes the board of trustees of any public school district and the governing board of the Texas School for the Deaf to enter into a memorandum of understanding with a local law enforcement agency for the provision of school resource officers. The board would have to determine the jurisdiction of a school resource officer as well as the enforcement duties of peace officers, school resource officers, and security personnel. Duties include protecting the safety and welfare of any person in the jurisdiction of the peace officer, resource officer, or security personnel and the property of the school district.</w:t>
      </w:r>
    </w:p>
    <w:p w:rsidR="009A32D7" w:rsidRDefault="00D72E89">
      <w:pPr>
        <w:pStyle w:val="BodyA"/>
        <w:spacing w:line="240" w:lineRule="auto"/>
        <w:jc w:val="both"/>
      </w:pPr>
      <w:r>
        <w:t xml:space="preserve">Please note that the new §37.081(d-2) specifies that school districts may </w:t>
      </w:r>
      <w:r>
        <w:rPr>
          <w:rStyle w:val="None"/>
          <w:b/>
          <w:bCs/>
          <w:u w:val="single"/>
        </w:rPr>
        <w:t>not</w:t>
      </w:r>
      <w:r>
        <w:t xml:space="preserve"> assign or require officers or security personnel to engage in:</w:t>
      </w:r>
    </w:p>
    <w:p w:rsidR="009A32D7" w:rsidRDefault="00D72E89">
      <w:pPr>
        <w:pStyle w:val="BodyA"/>
        <w:numPr>
          <w:ilvl w:val="0"/>
          <w:numId w:val="52"/>
        </w:numPr>
        <w:spacing w:line="240" w:lineRule="auto"/>
        <w:jc w:val="both"/>
      </w:pPr>
      <w:r>
        <w:t>routine student discipline or school administrative tasks; or</w:t>
      </w:r>
    </w:p>
    <w:p w:rsidR="009A32D7" w:rsidRDefault="00D72E89">
      <w:pPr>
        <w:pStyle w:val="BodyA"/>
        <w:numPr>
          <w:ilvl w:val="0"/>
          <w:numId w:val="52"/>
        </w:numPr>
        <w:spacing w:line="240" w:lineRule="auto"/>
        <w:jc w:val="both"/>
      </w:pPr>
      <w:r>
        <w:t>contact with students unrelated to prescribed duties.</w:t>
      </w:r>
    </w:p>
    <w:p w:rsidR="009A32D7" w:rsidRDefault="00D72E89">
      <w:pPr>
        <w:pStyle w:val="BodyA"/>
        <w:spacing w:line="240" w:lineRule="auto"/>
        <w:jc w:val="both"/>
      </w:pPr>
      <w:r>
        <w:t>Officers or security personnel are not prohibited from informal contact with a student unrelated to assigned duties or an incident involving student behavior or law enforcement.</w:t>
      </w:r>
    </w:p>
    <w:p w:rsidR="009A32D7" w:rsidRDefault="00D72E89" w:rsidP="00EC6354">
      <w:pPr>
        <w:pStyle w:val="BodyA"/>
        <w:spacing w:line="240" w:lineRule="auto"/>
        <w:jc w:val="both"/>
      </w:pPr>
      <w:r>
        <w:rPr>
          <w:rStyle w:val="None"/>
          <w:shd w:val="clear" w:color="auto" w:fill="FFFF00"/>
        </w:rPr>
        <w:t xml:space="preserve">Note that this law went into effect as soon as the Governor signed it on </w:t>
      </w:r>
      <w:r>
        <w:rPr>
          <w:rStyle w:val="None"/>
          <w:b/>
          <w:bCs/>
          <w:u w:val="single"/>
          <w:shd w:val="clear" w:color="auto" w:fill="FFFF00"/>
        </w:rPr>
        <w:t>June 2, 2019</w:t>
      </w:r>
      <w:r>
        <w:rPr>
          <w:rStyle w:val="None"/>
          <w:shd w:val="clear" w:color="auto" w:fill="FFFF00"/>
        </w:rPr>
        <w:t>.</w:t>
      </w:r>
    </w:p>
    <w:p w:rsidR="000B69D1" w:rsidRDefault="000B69D1">
      <w:pPr>
        <w:rPr>
          <w:rStyle w:val="None"/>
          <w:rFonts w:ascii="Arial" w:hAnsi="Arial" w:cs="Arial Unicode MS"/>
          <w:color w:val="0433FF"/>
          <w:sz w:val="30"/>
          <w:szCs w:val="30"/>
          <w:u w:color="0433FF"/>
          <w14:textOutline w14:w="12700" w14:cap="flat" w14:cmpd="sng" w14:algn="ctr">
            <w14:noFill/>
            <w14:prstDash w14:val="solid"/>
            <w14:miter w14:lim="400000"/>
          </w14:textOutline>
        </w:rPr>
      </w:pPr>
      <w:r>
        <w:rPr>
          <w:rStyle w:val="None"/>
          <w:b/>
          <w:bCs/>
          <w:smallCaps/>
        </w:rPr>
        <w:br w:type="page"/>
      </w:r>
    </w:p>
    <w:p w:rsidR="009A32D7" w:rsidRDefault="00D72E89">
      <w:pPr>
        <w:pStyle w:val="Heading"/>
      </w:pPr>
      <w:r>
        <w:rPr>
          <w:rStyle w:val="None"/>
          <w:b w:val="0"/>
          <w:bCs w:val="0"/>
          <w:smallCaps w:val="0"/>
        </w:rPr>
        <w:t>References:</w:t>
      </w:r>
    </w:p>
    <w:p w:rsidR="009A32D7" w:rsidRDefault="00D72E89" w:rsidP="000B69D1">
      <w:pPr>
        <w:pStyle w:val="BodyA"/>
        <w:spacing w:after="200" w:line="240" w:lineRule="auto"/>
        <w:ind w:left="720" w:hanging="720"/>
      </w:pPr>
      <w:r>
        <w:t xml:space="preserve">Edmonds, S. (2019). </w:t>
      </w:r>
      <w:r>
        <w:rPr>
          <w:rStyle w:val="None"/>
          <w:i/>
          <w:iCs/>
        </w:rPr>
        <w:t>2019-2021 Legislative Update</w:t>
      </w:r>
      <w:r>
        <w:t>. Austin, TX: Texas District and County Attorneys Association.</w:t>
      </w:r>
    </w:p>
    <w:p w:rsidR="009A32D7" w:rsidRDefault="00D72E89" w:rsidP="000B69D1">
      <w:pPr>
        <w:pStyle w:val="BodyA"/>
        <w:spacing w:after="200" w:line="240" w:lineRule="auto"/>
      </w:pPr>
      <w:r>
        <w:t xml:space="preserve">Legal Dictionary: </w:t>
      </w:r>
      <w:hyperlink r:id="rId29" w:history="1">
        <w:r>
          <w:rPr>
            <w:rStyle w:val="Hyperlink1"/>
          </w:rPr>
          <w:t>https://www.legaldictionary.net</w:t>
        </w:r>
      </w:hyperlink>
      <w:r>
        <w:t xml:space="preserve"> </w:t>
      </w:r>
    </w:p>
    <w:p w:rsidR="009A32D7" w:rsidRDefault="00D72E89" w:rsidP="000B69D1">
      <w:pPr>
        <w:pStyle w:val="BodyA"/>
        <w:spacing w:after="200" w:line="240" w:lineRule="auto"/>
        <w:ind w:left="720" w:hanging="720"/>
      </w:pPr>
      <w:r>
        <w:t xml:space="preserve">National Council of State Legislatures. (2019). “State Industrial Hemp Statutes.” Accessed 08/07/2019. </w:t>
      </w:r>
      <w:hyperlink r:id="rId30" w:history="1">
        <w:r>
          <w:rPr>
            <w:rStyle w:val="Hyperlink1"/>
          </w:rPr>
          <w:t>http://www.ncsl.org/research/agriculture-and-rural-development/state-industrial-hemp-statutes.aspx</w:t>
        </w:r>
      </w:hyperlink>
      <w:r>
        <w:rPr>
          <w:rStyle w:val="None"/>
          <w:color w:val="0432FF"/>
          <w:u w:color="0432FF"/>
        </w:rPr>
        <w:t xml:space="preserve"> </w:t>
      </w:r>
    </w:p>
    <w:p w:rsidR="009A32D7" w:rsidRDefault="00D72E89" w:rsidP="000B69D1">
      <w:pPr>
        <w:pStyle w:val="BodyA"/>
        <w:spacing w:after="200" w:line="240" w:lineRule="auto"/>
      </w:pPr>
      <w:r>
        <w:t xml:space="preserve">Supreme Court of the United States. </w:t>
      </w:r>
      <w:hyperlink r:id="rId31" w:history="1">
        <w:r>
          <w:rPr>
            <w:rStyle w:val="Hyperlink1"/>
          </w:rPr>
          <w:t>https://www.supremecourt.gov</w:t>
        </w:r>
      </w:hyperlink>
      <w:r>
        <w:t xml:space="preserve"> </w:t>
      </w:r>
    </w:p>
    <w:p w:rsidR="009A32D7" w:rsidRDefault="00D72E89" w:rsidP="000B69D1">
      <w:pPr>
        <w:pStyle w:val="BodyA"/>
        <w:spacing w:after="200" w:line="240" w:lineRule="auto"/>
      </w:pPr>
      <w:r>
        <w:t xml:space="preserve">Texas Legislature’s Online Bill Search. </w:t>
      </w:r>
      <w:hyperlink r:id="rId32" w:history="1">
        <w:r>
          <w:rPr>
            <w:rStyle w:val="Hyperlink1"/>
          </w:rPr>
          <w:t>https://capitol.texas.gov/Search/BillSearch.aspx</w:t>
        </w:r>
      </w:hyperlink>
    </w:p>
    <w:p w:rsidR="00AE1145" w:rsidRDefault="00D72E89" w:rsidP="000B69D1">
      <w:pPr>
        <w:pStyle w:val="BodyA"/>
        <w:spacing w:after="200" w:line="240" w:lineRule="auto"/>
        <w:rPr>
          <w:rStyle w:val="Hyperlink1"/>
        </w:rPr>
      </w:pPr>
      <w:r>
        <w:t xml:space="preserve">Urban Dictionary. </w:t>
      </w:r>
      <w:hyperlink r:id="rId33" w:history="1">
        <w:r>
          <w:rPr>
            <w:rStyle w:val="Hyperlink1"/>
          </w:rPr>
          <w:t>http://www.urbandictionary.com</w:t>
        </w:r>
      </w:hyperlink>
    </w:p>
    <w:p w:rsidR="00AE1145" w:rsidRPr="00A04E55" w:rsidRDefault="00921C1B" w:rsidP="00A04E55">
      <w:pPr>
        <w:pStyle w:val="Heading"/>
        <w:rPr>
          <w:rStyle w:val="Hyperlink1"/>
          <w:rFonts w:cs="Arial"/>
          <w:b w:val="0"/>
          <w:bCs w:val="0"/>
          <w:smallCaps w:val="0"/>
          <w:u w:val="none"/>
        </w:rPr>
      </w:pPr>
      <w:r w:rsidRPr="00A04E55">
        <w:rPr>
          <w:rStyle w:val="Hyperlink1"/>
          <w:rFonts w:cs="Arial"/>
          <w:b w:val="0"/>
          <w:bCs w:val="0"/>
          <w:smallCaps w:val="0"/>
          <w:u w:val="none"/>
        </w:rPr>
        <w:t>Emendations</w:t>
      </w:r>
      <w:r w:rsidR="00AE1145" w:rsidRPr="00A04E55">
        <w:rPr>
          <w:rStyle w:val="Hyperlink1"/>
          <w:rFonts w:cs="Arial"/>
          <w:b w:val="0"/>
          <w:bCs w:val="0"/>
          <w:smallCaps w:val="0"/>
          <w:u w:val="none"/>
        </w:rPr>
        <w:t>:</w:t>
      </w:r>
    </w:p>
    <w:p w:rsidR="00AE1145" w:rsidRPr="00921C1B" w:rsidRDefault="00AE1145" w:rsidP="00AE1145">
      <w:pPr>
        <w:pStyle w:val="BodyA"/>
        <w:numPr>
          <w:ilvl w:val="0"/>
          <w:numId w:val="53"/>
        </w:numPr>
        <w:spacing w:after="200" w:line="240" w:lineRule="auto"/>
        <w:rPr>
          <w:rFonts w:cs="Arial"/>
          <w:color w:val="000000" w:themeColor="text1"/>
        </w:rPr>
      </w:pPr>
      <w:r w:rsidRPr="00921C1B">
        <w:rPr>
          <w:rFonts w:cs="Arial"/>
          <w:color w:val="000000" w:themeColor="text1"/>
        </w:rPr>
        <w:t xml:space="preserve">08/20/2019: Updated entry on Subchapter H, DISTRIBUTION OF CIGARETTES, E-CIGARETTES, OR TOBACCO PRODUCTS [SB21]. Thank you, </w:t>
      </w:r>
      <w:r w:rsidRPr="00E03C57">
        <w:rPr>
          <w:rFonts w:cs="Arial"/>
          <w:b/>
          <w:bCs/>
          <w:color w:val="000000" w:themeColor="text1"/>
        </w:rPr>
        <w:t>Michael Green</w:t>
      </w:r>
      <w:r w:rsidRPr="00921C1B">
        <w:rPr>
          <w:rFonts w:cs="Arial"/>
          <w:color w:val="000000" w:themeColor="text1"/>
        </w:rPr>
        <w:t xml:space="preserve"> from </w:t>
      </w:r>
      <w:r w:rsidRPr="00E03C57">
        <w:rPr>
          <w:rFonts w:cs="Arial"/>
          <w:b/>
          <w:bCs/>
          <w:color w:val="000000" w:themeColor="text1"/>
        </w:rPr>
        <w:t>Temple College PD</w:t>
      </w:r>
      <w:r w:rsidRPr="00921C1B">
        <w:rPr>
          <w:rFonts w:cs="Arial"/>
          <w:color w:val="000000" w:themeColor="text1"/>
        </w:rPr>
        <w:t>!</w:t>
      </w:r>
    </w:p>
    <w:sectPr w:rsidR="00AE1145" w:rsidRPr="00921C1B">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D59" w:rsidRDefault="00190D59">
      <w:r>
        <w:separator/>
      </w:r>
    </w:p>
  </w:endnote>
  <w:endnote w:type="continuationSeparator" w:id="0">
    <w:p w:rsidR="00190D59" w:rsidRDefault="0019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C43" w:rsidRDefault="00C74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C43" w:rsidRDefault="00C74C43">
    <w:pPr>
      <w:pStyle w:val="HeaderFooterA"/>
      <w:tabs>
        <w:tab w:val="clear" w:pos="9020"/>
        <w:tab w:val="center" w:pos="4680"/>
        <w:tab w:val="right" w:pos="9340"/>
      </w:tabs>
    </w:pPr>
    <w:r>
      <w:rPr>
        <w:rFonts w:ascii="Arial" w:hAnsi="Arial"/>
        <w:sz w:val="22"/>
        <w:szCs w:val="22"/>
      </w:rPr>
      <w:tab/>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Pr>
        <w:rFonts w:ascii="Arial" w:eastAsia="Arial" w:hAnsi="Arial" w:cs="Arial"/>
        <w:sz w:val="22"/>
        <w:szCs w:val="22"/>
      </w:rPr>
      <w:t>1</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Pr>
        <w:rFonts w:ascii="Arial" w:eastAsia="Arial" w:hAnsi="Arial" w:cs="Arial"/>
        <w:sz w:val="22"/>
        <w:szCs w:val="22"/>
      </w:rPr>
      <w:t>1</w:t>
    </w:r>
    <w:r>
      <w:rPr>
        <w:rFonts w:ascii="Arial" w:eastAsia="Arial" w:hAnsi="Arial" w:cs="Arial"/>
        <w:sz w:val="22"/>
        <w:szCs w:val="22"/>
      </w:rPr>
      <w:fldChar w:fldCharType="end"/>
    </w:r>
    <w:r>
      <w:rPr>
        <w:rFonts w:ascii="Arial" w:hAnsi="Arial"/>
        <w:sz w:val="22"/>
        <w:szCs w:val="22"/>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C43" w:rsidRDefault="00C74C43">
    <w:pPr>
      <w:pStyle w:val="Header"/>
      <w:jc w:val="righ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D59" w:rsidRDefault="00190D59">
      <w:r>
        <w:separator/>
      </w:r>
    </w:p>
  </w:footnote>
  <w:footnote w:type="continuationSeparator" w:id="0">
    <w:p w:rsidR="00190D59" w:rsidRDefault="00190D59">
      <w:r>
        <w:continuationSeparator/>
      </w:r>
    </w:p>
  </w:footnote>
  <w:footnote w:type="continuationNotice" w:id="1">
    <w:p w:rsidR="00190D59" w:rsidRDefault="00190D59"/>
  </w:footnote>
  <w:footnote w:id="2">
    <w:p w:rsidR="00C74C43" w:rsidRDefault="00C74C43">
      <w:pPr>
        <w:pStyle w:val="FootnoteText"/>
        <w:jc w:val="both"/>
      </w:pPr>
      <w:r>
        <w:rPr>
          <w:rStyle w:val="FootnoteReference"/>
        </w:rPr>
        <w:footnoteRef/>
      </w:r>
      <w:r>
        <w:rPr>
          <w:rStyle w:val="None"/>
          <w:rFonts w:ascii="Arial" w:hAnsi="Arial"/>
        </w:rPr>
        <w:t xml:space="preserve"> "School Resource Officer" means a peace officer who is assigned by the officer's employing political subdivision to provide: (1) a police presence at a public school; (2) safety or drug education to students of a public school; or (3) other similar services.</w:t>
      </w:r>
    </w:p>
  </w:footnote>
  <w:footnote w:id="3">
    <w:p w:rsidR="00C74C43" w:rsidRDefault="00C74C43">
      <w:pPr>
        <w:pStyle w:val="FootnoteText"/>
      </w:pPr>
      <w:r>
        <w:rPr>
          <w:rStyle w:val="FootnoteReference"/>
        </w:rPr>
        <w:footnoteRef/>
      </w:r>
      <w:r>
        <w:rPr>
          <w:rStyle w:val="None"/>
          <w:rFonts w:ascii="Arial" w:hAnsi="Arial"/>
        </w:rPr>
        <w:t xml:space="preserve"> As of the time of writing, the course name and number have not yet been determined.</w:t>
      </w:r>
    </w:p>
  </w:footnote>
  <w:footnote w:id="4">
    <w:p w:rsidR="00C74C43" w:rsidRDefault="00C74C43">
      <w:pPr>
        <w:pStyle w:val="FootnoteText"/>
      </w:pPr>
      <w:r>
        <w:rPr>
          <w:rStyle w:val="FootnoteReference"/>
        </w:rPr>
        <w:footnoteRef/>
      </w:r>
      <w:r>
        <w:rPr>
          <w:rStyle w:val="None"/>
          <w:rFonts w:ascii="Arial" w:hAnsi="Arial"/>
        </w:rPr>
        <w:t xml:space="preserve"> As of the time of writing, the course name and number have not yet been determined.</w:t>
      </w:r>
    </w:p>
  </w:footnote>
  <w:footnote w:id="5">
    <w:p w:rsidR="00C74C43" w:rsidRDefault="00C74C43">
      <w:pPr>
        <w:pStyle w:val="FootnoteText"/>
      </w:pPr>
      <w:r>
        <w:rPr>
          <w:rStyle w:val="FootnoteReference"/>
        </w:rPr>
        <w:footnoteRef/>
      </w:r>
      <w:r>
        <w:rPr>
          <w:rStyle w:val="None"/>
          <w:rFonts w:ascii="Arial" w:hAnsi="Arial"/>
        </w:rPr>
        <w:t xml:space="preserve"> As of the time of writing, the course name and number have not yet been determined.</w:t>
      </w:r>
    </w:p>
  </w:footnote>
  <w:footnote w:id="6">
    <w:p w:rsidR="00C74C43" w:rsidRDefault="00C74C43">
      <w:pPr>
        <w:pStyle w:val="FootnoteText"/>
        <w:jc w:val="both"/>
      </w:pPr>
      <w:r>
        <w:rPr>
          <w:rStyle w:val="FootnoteReference"/>
        </w:rPr>
        <w:footnoteRef/>
      </w:r>
      <w:r>
        <w:rPr>
          <w:rStyle w:val="None"/>
          <w:rFonts w:ascii="Arial" w:hAnsi="Arial"/>
        </w:rPr>
        <w:t xml:space="preserve"> The US Supreme Court defines curtilage as “the area ‘immediately surrounding and associated with the home’” (see </w:t>
      </w:r>
      <w:r>
        <w:rPr>
          <w:rStyle w:val="None"/>
          <w:rFonts w:ascii="Arial" w:hAnsi="Arial"/>
          <w:i/>
          <w:iCs/>
        </w:rPr>
        <w:t>Florida v. Jardines</w:t>
      </w:r>
      <w:r>
        <w:rPr>
          <w:rStyle w:val="None"/>
          <w:rFonts w:ascii="Arial" w:hAnsi="Arial"/>
        </w:rPr>
        <w:t>, 569 U.S. 1, p.6 (2013)).</w:t>
      </w:r>
    </w:p>
  </w:footnote>
  <w:footnote w:id="7">
    <w:p w:rsidR="00C74C43" w:rsidRDefault="00C74C43">
      <w:pPr>
        <w:pStyle w:val="FootnoteText"/>
        <w:jc w:val="both"/>
      </w:pPr>
      <w:r>
        <w:rPr>
          <w:rStyle w:val="FootnoteReference"/>
        </w:rPr>
        <w:footnoteRef/>
      </w:r>
      <w:r>
        <w:rPr>
          <w:rStyle w:val="None"/>
          <w:rFonts w:ascii="Arial" w:hAnsi="Arial"/>
        </w:rPr>
        <w:t xml:space="preserve"> According to the Texas District &amp; County Attorneys Association (see Shannon Edmonds’ </w:t>
      </w:r>
      <w:hyperlink r:id="rId1" w:history="1">
        <w:r>
          <w:rPr>
            <w:rStyle w:val="Hyperlink3"/>
          </w:rPr>
          <w:t>2019-2021</w:t>
        </w:r>
        <w:r>
          <w:rPr>
            <w:rStyle w:val="Link"/>
            <w:rFonts w:ascii="Arial" w:hAnsi="Arial"/>
            <w:color w:val="0432FF"/>
            <w:u w:color="0432FF"/>
          </w:rPr>
          <w:t xml:space="preserve"> </w:t>
        </w:r>
        <w:r>
          <w:rPr>
            <w:rStyle w:val="Hyperlink3"/>
          </w:rPr>
          <w:t>Legislative Update</w:t>
        </w:r>
      </w:hyperlink>
      <w:r>
        <w:rPr>
          <w:rStyle w:val="None"/>
          <w:rFonts w:ascii="Arial" w:hAnsi="Arial"/>
        </w:rPr>
        <w:t xml:space="preserve">, p. 4), </w:t>
      </w:r>
      <w:r>
        <w:rPr>
          <w:rStyle w:val="None"/>
          <w:rFonts w:ascii="Arial" w:hAnsi="Arial"/>
          <w:i/>
          <w:iCs/>
        </w:rPr>
        <w:t>stash house</w:t>
      </w:r>
      <w:r>
        <w:rPr>
          <w:rStyle w:val="None"/>
          <w:rFonts w:ascii="Arial" w:hAnsi="Arial"/>
        </w:rPr>
        <w:t xml:space="preserve"> “…is not defined in the body of the statute, nor is the scope of the offense limited to houses, nor even to real property. By its express terms, this new crime applies to the misuse of ‘any real estate, building, room, tent, vehicle, boat, or </w:t>
      </w:r>
      <w:r>
        <w:rPr>
          <w:rStyle w:val="None"/>
          <w:rFonts w:ascii="Arial" w:hAnsi="Arial"/>
          <w:i/>
          <w:iCs/>
        </w:rPr>
        <w:t>other property</w:t>
      </w:r>
      <w:r>
        <w:rPr>
          <w:rStyle w:val="None"/>
          <w:rFonts w:ascii="Arial" w:hAnsi="Arial"/>
        </w:rPr>
        <w:t>’ (emphasis added) owned or operated by the offender, which could include personal property such as a firearm, currency, or literally almost anything else that can be used to facilitate one of the enumerated crimes.”</w:t>
      </w:r>
    </w:p>
  </w:footnote>
  <w:footnote w:id="8">
    <w:p w:rsidR="00C74C43" w:rsidRDefault="00C74C43">
      <w:pPr>
        <w:pStyle w:val="FootnoteText"/>
        <w:jc w:val="both"/>
      </w:pPr>
      <w:r>
        <w:rPr>
          <w:rStyle w:val="FootnoteReference"/>
        </w:rPr>
        <w:footnoteRef/>
      </w:r>
      <w:r>
        <w:rPr>
          <w:rStyle w:val="None"/>
          <w:rFonts w:ascii="Arial" w:hAnsi="Arial"/>
        </w:rPr>
        <w:t xml:space="preserve"> See </w:t>
      </w:r>
      <w:r>
        <w:rPr>
          <w:rStyle w:val="None"/>
          <w:rFonts w:ascii="Arial" w:hAnsi="Arial"/>
          <w:i/>
          <w:iCs/>
        </w:rPr>
        <w:t>Ex parte Thompson</w:t>
      </w:r>
      <w:r>
        <w:rPr>
          <w:rStyle w:val="None"/>
          <w:rFonts w:ascii="Arial" w:hAnsi="Arial"/>
        </w:rPr>
        <w:t xml:space="preserve">, 442 S.W.3d 325 (Tex. Crim. App. 2014), and </w:t>
      </w:r>
      <w:r>
        <w:rPr>
          <w:rStyle w:val="None"/>
          <w:rFonts w:ascii="Arial" w:hAnsi="Arial"/>
          <w:i/>
          <w:iCs/>
        </w:rPr>
        <w:t>Ex parte Jones</w:t>
      </w:r>
      <w:r>
        <w:rPr>
          <w:rStyle w:val="None"/>
          <w:rFonts w:ascii="Arial" w:hAnsi="Arial"/>
        </w:rPr>
        <w:t>, No. 12-17-00346-CR, 2018</w:t>
      </w:r>
    </w:p>
  </w:footnote>
  <w:footnote w:id="9">
    <w:p w:rsidR="00C74C43" w:rsidRDefault="00C74C43">
      <w:pPr>
        <w:pStyle w:val="FootnoteText"/>
        <w:jc w:val="both"/>
      </w:pPr>
      <w:r>
        <w:rPr>
          <w:rStyle w:val="FootnoteReference"/>
        </w:rPr>
        <w:footnoteRef/>
      </w:r>
      <w:r>
        <w:rPr>
          <w:rStyle w:val="None"/>
          <w:rFonts w:ascii="Arial" w:hAnsi="Arial"/>
        </w:rPr>
        <w:t xml:space="preserve"> Edmonds, p. 5</w:t>
      </w:r>
    </w:p>
  </w:footnote>
  <w:footnote w:id="10">
    <w:p w:rsidR="00C74C43" w:rsidRDefault="00C74C43">
      <w:pPr>
        <w:pStyle w:val="FootnoteText"/>
      </w:pPr>
      <w:r>
        <w:rPr>
          <w:rStyle w:val="FootnoteReference"/>
        </w:rPr>
        <w:footnoteRef/>
      </w:r>
      <w:r>
        <w:rPr>
          <w:rStyle w:val="None"/>
          <w:rFonts w:ascii="Arial" w:hAnsi="Arial"/>
        </w:rPr>
        <w:t xml:space="preserve"> Edmonds, p. 6</w:t>
      </w:r>
    </w:p>
  </w:footnote>
  <w:footnote w:id="11">
    <w:p w:rsidR="00C74C43" w:rsidRDefault="00C74C43">
      <w:pPr>
        <w:pStyle w:val="FootnoteText"/>
      </w:pPr>
      <w:r>
        <w:rPr>
          <w:rStyle w:val="FootnoteReference"/>
        </w:rPr>
        <w:footnoteRef/>
      </w:r>
      <w:r>
        <w:rPr>
          <w:rStyle w:val="None"/>
          <w:rFonts w:ascii="Arial" w:hAnsi="Arial"/>
        </w:rPr>
        <w:t xml:space="preserve"> Ibid, p. 6</w:t>
      </w:r>
    </w:p>
  </w:footnote>
  <w:footnote w:id="12">
    <w:p w:rsidR="00C74C43" w:rsidRDefault="00C74C43">
      <w:pPr>
        <w:pStyle w:val="FootnoteText"/>
        <w:jc w:val="both"/>
      </w:pPr>
      <w:r>
        <w:rPr>
          <w:rStyle w:val="FootnoteReference"/>
        </w:rPr>
        <w:footnoteRef/>
      </w:r>
      <w:r>
        <w:rPr>
          <w:rStyle w:val="None"/>
          <w:rFonts w:ascii="Arial" w:hAnsi="Arial"/>
        </w:rPr>
        <w:t xml:space="preserve"> Urbandictionary.com defines porch pirate as a “person or persons who steal packages off of unsuspecting customers’ porches or front door areas” (Definition accessed on 07/25/2019)</w:t>
      </w:r>
    </w:p>
  </w:footnote>
  <w:footnote w:id="13">
    <w:p w:rsidR="00C74C43" w:rsidRDefault="00C74C43">
      <w:pPr>
        <w:pStyle w:val="FootnoteText"/>
        <w:jc w:val="both"/>
      </w:pPr>
      <w:r>
        <w:rPr>
          <w:rStyle w:val="FootnoteReference"/>
        </w:rPr>
        <w:footnoteRef/>
      </w:r>
      <w:r>
        <w:rPr>
          <w:rStyle w:val="None"/>
          <w:rFonts w:ascii="Arial" w:hAnsi="Arial"/>
        </w:rPr>
        <w:t xml:space="preserve"> e.g., USPS, FedEx, UPS, DHL, etc.</w:t>
      </w:r>
    </w:p>
  </w:footnote>
  <w:footnote w:id="14">
    <w:p w:rsidR="00C74C43" w:rsidRDefault="00C74C43">
      <w:pPr>
        <w:pStyle w:val="FootnoteText"/>
        <w:jc w:val="both"/>
      </w:pPr>
      <w:r>
        <w:rPr>
          <w:rStyle w:val="FootnoteReference"/>
        </w:rPr>
        <w:footnoteRef/>
      </w:r>
      <w:r>
        <w:rPr>
          <w:rStyle w:val="None"/>
          <w:rFonts w:ascii="Arial" w:hAnsi="Arial"/>
        </w:rPr>
        <w:t xml:space="preserve"> According to the FCC, “</w:t>
      </w:r>
      <w:hyperlink r:id="rId2" w:history="1">
        <w:r>
          <w:rPr>
            <w:rStyle w:val="Hyperlink4"/>
          </w:rPr>
          <w:t>spoofing</w:t>
        </w:r>
      </w:hyperlink>
      <w:r>
        <w:rPr>
          <w:rStyle w:val="None"/>
          <w:rFonts w:ascii="Arial" w:hAnsi="Arial"/>
        </w:rPr>
        <w:t xml:space="preserve"> is when a caller deliberately falsifies the information transmitted to your caller ID display to disguise their identity” (definition accessed on July 25, 2019). You can click </w:t>
      </w:r>
      <w:hyperlink r:id="rId3" w:history="1">
        <w:r>
          <w:rPr>
            <w:rStyle w:val="Hyperlink5"/>
          </w:rPr>
          <w:t>HERE</w:t>
        </w:r>
      </w:hyperlink>
      <w:r>
        <w:rPr>
          <w:rStyle w:val="None"/>
          <w:rFonts w:ascii="Arial" w:hAnsi="Arial"/>
        </w:rPr>
        <w:t xml:space="preserve"> to download from the FCC a document that has excellent tips on how to protect yourself from spoofing scams.</w:t>
      </w:r>
    </w:p>
  </w:footnote>
  <w:footnote w:id="15">
    <w:p w:rsidR="00C74C43" w:rsidRDefault="00C74C43">
      <w:pPr>
        <w:pStyle w:val="FootnoteText"/>
        <w:jc w:val="both"/>
      </w:pPr>
      <w:r>
        <w:rPr>
          <w:rStyle w:val="FootnoteReference"/>
        </w:rPr>
        <w:footnoteRef/>
      </w:r>
      <w:r>
        <w:rPr>
          <w:rStyle w:val="None"/>
          <w:rFonts w:ascii="Arial" w:hAnsi="Arial"/>
        </w:rPr>
        <w:t xml:space="preserve"> FYI, 168 hours is seven days.</w:t>
      </w:r>
    </w:p>
  </w:footnote>
  <w:footnote w:id="16">
    <w:p w:rsidR="00C74C43" w:rsidRDefault="00C74C43">
      <w:pPr>
        <w:pStyle w:val="FootnoteText"/>
        <w:jc w:val="both"/>
      </w:pPr>
      <w:r>
        <w:rPr>
          <w:rStyle w:val="FootnoteReference"/>
        </w:rPr>
        <w:footnoteRef/>
      </w:r>
      <w:r>
        <w:rPr>
          <w:rStyle w:val="None"/>
          <w:rFonts w:ascii="Arial" w:hAnsi="Arial"/>
        </w:rPr>
        <w:t xml:space="preserve"> Subsection (a)(1) refers to Penal Code §§21,02, </w:t>
      </w:r>
      <w:r>
        <w:rPr>
          <w:rStyle w:val="None"/>
          <w:rFonts w:ascii="Arial" w:hAnsi="Arial"/>
          <w:i/>
          <w:iCs/>
        </w:rPr>
        <w:t xml:space="preserve">Continuous Sexual Abuse of Young Child or Children; </w:t>
      </w:r>
      <w:r>
        <w:rPr>
          <w:rStyle w:val="None"/>
          <w:rFonts w:ascii="Arial" w:hAnsi="Arial"/>
        </w:rPr>
        <w:t>21.11,</w:t>
      </w:r>
      <w:r>
        <w:rPr>
          <w:rStyle w:val="None"/>
          <w:rFonts w:ascii="Arial" w:hAnsi="Arial"/>
          <w:i/>
          <w:iCs/>
        </w:rPr>
        <w:t xml:space="preserve"> Indecency with a Child; </w:t>
      </w:r>
      <w:r>
        <w:rPr>
          <w:rStyle w:val="None"/>
          <w:rFonts w:ascii="Arial" w:hAnsi="Arial"/>
        </w:rPr>
        <w:t>22.011,</w:t>
      </w:r>
      <w:r>
        <w:rPr>
          <w:rStyle w:val="None"/>
          <w:rFonts w:ascii="Arial" w:hAnsi="Arial"/>
          <w:i/>
          <w:iCs/>
        </w:rPr>
        <w:t xml:space="preserve"> Sexual</w:t>
      </w:r>
      <w:r>
        <w:rPr>
          <w:rStyle w:val="None"/>
          <w:rFonts w:ascii="Arial" w:hAnsi="Arial"/>
        </w:rPr>
        <w:t xml:space="preserve"> </w:t>
      </w:r>
      <w:r>
        <w:rPr>
          <w:rStyle w:val="None"/>
          <w:rFonts w:ascii="Arial" w:hAnsi="Arial"/>
          <w:i/>
          <w:iCs/>
        </w:rPr>
        <w:t>Assault</w:t>
      </w:r>
      <w:r>
        <w:rPr>
          <w:rStyle w:val="None"/>
          <w:rFonts w:ascii="Arial" w:hAnsi="Arial"/>
        </w:rPr>
        <w:t xml:space="preserve">; 22.012, the new </w:t>
      </w:r>
      <w:r>
        <w:rPr>
          <w:rStyle w:val="None"/>
          <w:rFonts w:ascii="Arial" w:hAnsi="Arial"/>
          <w:i/>
          <w:iCs/>
        </w:rPr>
        <w:t>Indecent Assault</w:t>
      </w:r>
      <w:r>
        <w:rPr>
          <w:rStyle w:val="None"/>
          <w:rFonts w:ascii="Arial" w:hAnsi="Arial"/>
        </w:rPr>
        <w:t xml:space="preserve">; 22.021, </w:t>
      </w:r>
      <w:r>
        <w:rPr>
          <w:rStyle w:val="None"/>
          <w:rFonts w:ascii="Arial" w:hAnsi="Arial"/>
          <w:i/>
          <w:iCs/>
        </w:rPr>
        <w:t>Aggravated Sexual Assault</w:t>
      </w:r>
      <w:r>
        <w:rPr>
          <w:rStyle w:val="None"/>
          <w:rFonts w:ascii="Arial" w:hAnsi="Arial"/>
        </w:rPr>
        <w:t xml:space="preserve">; and 42.072, </w:t>
      </w:r>
      <w:r>
        <w:rPr>
          <w:rStyle w:val="None"/>
          <w:rFonts w:ascii="Arial" w:hAnsi="Arial"/>
          <w:i/>
          <w:iCs/>
        </w:rPr>
        <w:t>Stalking</w:t>
      </w:r>
      <w:r>
        <w:rPr>
          <w:rStyle w:val="None"/>
          <w:rFonts w:ascii="Arial" w:hAnsi="Arial"/>
        </w:rPr>
        <w:t xml:space="preserve">. Subsection (a)(2) refers to Penal Code §§20A.02, </w:t>
      </w:r>
      <w:r>
        <w:rPr>
          <w:rStyle w:val="None"/>
          <w:rFonts w:ascii="Arial" w:hAnsi="Arial"/>
          <w:i/>
          <w:iCs/>
        </w:rPr>
        <w:t>Trafficking of Persons</w:t>
      </w:r>
      <w:r>
        <w:rPr>
          <w:rStyle w:val="None"/>
          <w:rFonts w:ascii="Arial" w:hAnsi="Arial"/>
        </w:rPr>
        <w:t xml:space="preserve">; 20A.03, </w:t>
      </w:r>
      <w:r>
        <w:rPr>
          <w:rStyle w:val="None"/>
          <w:rFonts w:ascii="Arial" w:hAnsi="Arial"/>
          <w:i/>
          <w:iCs/>
        </w:rPr>
        <w:t>Continuous Trafficking of Persons</w:t>
      </w:r>
      <w:r>
        <w:rPr>
          <w:rStyle w:val="None"/>
          <w:rFonts w:ascii="Arial" w:hAnsi="Arial"/>
        </w:rPr>
        <w:t xml:space="preserve">; and 43.05, </w:t>
      </w:r>
      <w:r>
        <w:rPr>
          <w:rStyle w:val="None"/>
          <w:rFonts w:ascii="Arial" w:hAnsi="Arial"/>
          <w:i/>
          <w:iCs/>
        </w:rPr>
        <w:t>Compelling Prostitution</w:t>
      </w:r>
      <w:r>
        <w:rPr>
          <w:rStyle w:val="None"/>
          <w:rFonts w:ascii="Arial" w:hAnsi="Arial"/>
        </w:rPr>
        <w:t>.</w:t>
      </w:r>
    </w:p>
  </w:footnote>
  <w:footnote w:id="17">
    <w:p w:rsidR="00C74C43" w:rsidRDefault="00C74C43">
      <w:pPr>
        <w:pStyle w:val="FootnoteText"/>
      </w:pPr>
      <w:r>
        <w:rPr>
          <w:rStyle w:val="FootnoteReference"/>
        </w:rPr>
        <w:footnoteRef/>
      </w:r>
      <w:r>
        <w:rPr>
          <w:rStyle w:val="None"/>
          <w:rFonts w:ascii="Arial" w:hAnsi="Arial"/>
        </w:rPr>
        <w:t xml:space="preserve"> Edmonds, p. 19</w:t>
      </w:r>
    </w:p>
  </w:footnote>
  <w:footnote w:id="18">
    <w:p w:rsidR="00C74C43" w:rsidRDefault="00C74C43">
      <w:pPr>
        <w:pStyle w:val="FootnoteText"/>
      </w:pPr>
      <w:r>
        <w:rPr>
          <w:rStyle w:val="FootnoteReference"/>
        </w:rPr>
        <w:footnoteRef/>
      </w:r>
      <w:r>
        <w:rPr>
          <w:rStyle w:val="None"/>
          <w:rFonts w:ascii="Arial" w:hAnsi="Arial"/>
        </w:rPr>
        <w:t xml:space="preserve"> See Penal Code §12.42(b)</w:t>
      </w:r>
    </w:p>
  </w:footnote>
  <w:footnote w:id="19">
    <w:p w:rsidR="00C74C43" w:rsidRDefault="00C74C43">
      <w:pPr>
        <w:pStyle w:val="FootnoteText"/>
        <w:jc w:val="both"/>
      </w:pPr>
      <w:r>
        <w:rPr>
          <w:rStyle w:val="FootnoteReference"/>
        </w:rPr>
        <w:footnoteRef/>
      </w:r>
      <w:r>
        <w:rPr>
          <w:rStyle w:val="None"/>
          <w:rFonts w:ascii="Arial" w:hAnsi="Arial"/>
        </w:rPr>
        <w:t xml:space="preserve"> At any time beginning at </w:t>
      </w:r>
      <w:r>
        <w:rPr>
          <w:rStyle w:val="None"/>
          <w:rFonts w:ascii="Arial" w:hAnsi="Arial"/>
          <w:b/>
          <w:bCs/>
        </w:rPr>
        <w:t>6 a.m.</w:t>
      </w:r>
      <w:r>
        <w:rPr>
          <w:rStyle w:val="None"/>
          <w:rFonts w:ascii="Arial" w:hAnsi="Arial"/>
        </w:rPr>
        <w:t xml:space="preserve"> and ending at </w:t>
      </w:r>
      <w:r>
        <w:rPr>
          <w:rStyle w:val="None"/>
          <w:rFonts w:ascii="Arial" w:hAnsi="Arial"/>
          <w:b/>
          <w:bCs/>
        </w:rPr>
        <w:t>5 p.m.</w:t>
      </w:r>
    </w:p>
  </w:footnote>
  <w:footnote w:id="20">
    <w:p w:rsidR="00C74C43" w:rsidRDefault="00C74C43">
      <w:pPr>
        <w:pStyle w:val="FootnoteText"/>
        <w:jc w:val="both"/>
      </w:pPr>
      <w:r>
        <w:rPr>
          <w:rStyle w:val="FootnoteReference"/>
        </w:rPr>
        <w:footnoteRef/>
      </w:r>
      <w:r>
        <w:rPr>
          <w:rStyle w:val="None"/>
          <w:rFonts w:ascii="Arial" w:hAnsi="Arial"/>
        </w:rPr>
        <w:t xml:space="preserve"> Specifically, (1) responding to an emergency call; (2) pursuing an actual or suspected violator of the law; (3) responding to but not returning from a fire alarm; (4) directing or diverting traffic for public safety purposes; or (5) conducting a police escort.</w:t>
      </w:r>
    </w:p>
  </w:footnote>
  <w:footnote w:id="21">
    <w:p w:rsidR="00C74C43" w:rsidRDefault="00C74C43">
      <w:pPr>
        <w:pStyle w:val="FootnoteText"/>
        <w:jc w:val="both"/>
      </w:pPr>
      <w:r>
        <w:rPr>
          <w:rStyle w:val="None"/>
          <w:rFonts w:ascii="Arial" w:eastAsia="Arial" w:hAnsi="Arial" w:cs="Arial"/>
          <w:b/>
          <w:bCs/>
          <w:vertAlign w:val="superscript"/>
        </w:rPr>
        <w:footnoteRef/>
      </w:r>
      <w:r>
        <w:rPr>
          <w:rStyle w:val="None"/>
          <w:rFonts w:ascii="Arial" w:hAnsi="Arial"/>
        </w:rPr>
        <w:t xml:space="preserve"> From </w:t>
      </w:r>
      <w:hyperlink r:id="rId4" w:history="1">
        <w:r>
          <w:rPr>
            <w:rStyle w:val="Hyperlink6"/>
          </w:rPr>
          <w:t>legaldictionary.net</w:t>
        </w:r>
      </w:hyperlink>
      <w:r>
        <w:rPr>
          <w:rStyle w:val="None"/>
          <w:rFonts w:ascii="Arial" w:hAnsi="Arial"/>
        </w:rPr>
        <w:t xml:space="preserve"> (</w:t>
      </w:r>
      <w:r>
        <w:rPr>
          <w:rStyle w:val="None"/>
          <w:rFonts w:ascii="Arial" w:hAnsi="Arial"/>
          <w:b/>
          <w:bCs/>
          <w:i/>
          <w:iCs/>
        </w:rPr>
        <w:t>emphasis</w:t>
      </w:r>
      <w:r>
        <w:rPr>
          <w:rStyle w:val="None"/>
          <w:rFonts w:ascii="Arial" w:hAnsi="Arial"/>
        </w:rPr>
        <w:t xml:space="preserve"> added by the 3186 committee): “strict liability is a legal term referring to the holding of an individual or entity liable for damages or losses, </w:t>
      </w:r>
      <w:r>
        <w:rPr>
          <w:rStyle w:val="None"/>
          <w:rFonts w:ascii="Arial" w:hAnsi="Arial"/>
          <w:b/>
          <w:bCs/>
          <w:i/>
          <w:iCs/>
        </w:rPr>
        <w:t>without having to prove carelessness or mistake</w:t>
      </w:r>
      <w:r>
        <w:rPr>
          <w:rStyle w:val="None"/>
          <w:rFonts w:ascii="Arial" w:hAnsi="Arial"/>
        </w:rPr>
        <w:t>. The doctrine of strict liability is commonly applied to cases involving defective products. Such a claim relies, not on wrongdoing, but on the inherent hazards of the situation or product.” [Definition accessed on 07/20/2019.]</w:t>
      </w:r>
    </w:p>
  </w:footnote>
  <w:footnote w:id="22">
    <w:p w:rsidR="00C74C43" w:rsidRDefault="00C74C43">
      <w:pPr>
        <w:pStyle w:val="FootnoteText"/>
      </w:pPr>
      <w:r>
        <w:rPr>
          <w:rStyle w:val="FootnoteReference"/>
        </w:rPr>
        <w:footnoteRef/>
      </w:r>
      <w:r>
        <w:rPr>
          <w:rStyle w:val="None"/>
          <w:rFonts w:ascii="Arial" w:hAnsi="Arial"/>
        </w:rPr>
        <w:t xml:space="preserve"> See, for example, </w:t>
      </w:r>
      <w:hyperlink r:id="rId5" w:history="1">
        <w:r>
          <w:rPr>
            <w:rStyle w:val="Hyperlink5"/>
            <w:rFonts w:eastAsia="Arial Unicode MS" w:cs="Arial Unicode MS"/>
          </w:rPr>
          <w:t>THIS</w:t>
        </w:r>
      </w:hyperlink>
      <w:r>
        <w:rPr>
          <w:rStyle w:val="None"/>
          <w:rFonts w:ascii="Arial" w:hAnsi="Arial"/>
        </w:rPr>
        <w:t xml:space="preserve"> July 18, 2019, letter from Governor Abbott, Lt.Gov. Patrick, House Speaker Bonnen, and AG Paxton to Texas District and County Attorneys, providing guidance on House Bill 1325.</w:t>
      </w:r>
    </w:p>
  </w:footnote>
  <w:footnote w:id="23">
    <w:p w:rsidR="00C74C43" w:rsidRDefault="00C74C43">
      <w:pPr>
        <w:pStyle w:val="FootnoteText"/>
      </w:pPr>
      <w:r>
        <w:rPr>
          <w:rStyle w:val="FootnoteReference"/>
        </w:rPr>
        <w:footnoteRef/>
      </w:r>
      <w:r>
        <w:rPr>
          <w:rStyle w:val="None"/>
          <w:rFonts w:ascii="Arial" w:hAnsi="Arial"/>
        </w:rPr>
        <w:t xml:space="preserve"> NCSL, “State Industrial Hemp Statutes.” </w:t>
      </w:r>
      <w:hyperlink r:id="rId6" w:history="1">
        <w:r>
          <w:rPr>
            <w:rStyle w:val="Hyperlink4"/>
            <w:rFonts w:eastAsia="Arial Unicode MS" w:cs="Arial Unicode MS"/>
          </w:rPr>
          <w:t>Article</w:t>
        </w:r>
      </w:hyperlink>
      <w:r>
        <w:rPr>
          <w:rStyle w:val="None"/>
          <w:rFonts w:ascii="Arial" w:hAnsi="Arial"/>
        </w:rPr>
        <w:t xml:space="preserve"> accessed on August 7, 2019.</w:t>
      </w:r>
    </w:p>
  </w:footnote>
  <w:footnote w:id="24">
    <w:p w:rsidR="00C74C43" w:rsidRDefault="00C74C43">
      <w:pPr>
        <w:pStyle w:val="FootnoteText"/>
      </w:pPr>
      <w:r>
        <w:rPr>
          <w:rStyle w:val="FootnoteReference"/>
        </w:rPr>
        <w:footnoteRef/>
      </w:r>
      <w:r>
        <w:rPr>
          <w:rStyle w:val="None"/>
          <w:rFonts w:ascii="Arial" w:hAnsi="Arial"/>
        </w:rPr>
        <w:t xml:space="preserve"> Edmonds, p. 50</w:t>
      </w:r>
    </w:p>
  </w:footnote>
  <w:footnote w:id="25">
    <w:p w:rsidR="00C74C43" w:rsidRDefault="00C74C43">
      <w:pPr>
        <w:pStyle w:val="FootnoteText"/>
      </w:pPr>
      <w:r>
        <w:rPr>
          <w:rStyle w:val="FootnoteReference"/>
        </w:rPr>
        <w:footnoteRef/>
      </w:r>
      <w:r>
        <w:rPr>
          <w:rStyle w:val="None"/>
          <w:rFonts w:ascii="Arial" w:hAnsi="Arial"/>
        </w:rPr>
        <w:t xml:space="preserve"> or an offense under the laws of another state or federal law that is equivalent to an offense under one of those sections</w:t>
      </w:r>
    </w:p>
  </w:footnote>
  <w:footnote w:id="26">
    <w:p w:rsidR="00C74C43" w:rsidRDefault="00C74C43">
      <w:pPr>
        <w:pStyle w:val="FootnoteText"/>
        <w:jc w:val="both"/>
      </w:pPr>
      <w:r w:rsidRPr="00897781">
        <w:rPr>
          <w:rStyle w:val="None"/>
          <w:shd w:val="clear" w:color="auto" w:fill="FFFF00"/>
          <w:vertAlign w:val="superscript"/>
        </w:rPr>
        <w:footnoteRef/>
      </w:r>
      <w:r>
        <w:rPr>
          <w:rStyle w:val="None"/>
          <w:rFonts w:ascii="Arial" w:hAnsi="Arial"/>
        </w:rPr>
        <w:t xml:space="preserve"> House Bill 3503 amends the Occupations Code to require TCOLE to develop and administer a basic training program in the use of firearms by county jailers and to issue a certificate of firearm proficiency to each county jailer that has successfully completed the program. A county jailer with such a certificate must maintain and demonstrate continued weapons proficiency at least annually. Contingent on maintaining that proficiency, the county jailer is authorized to carry a firearm during the course of performing duties as a county jailer and while traveling to or from the jailer's place of assignment.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C43" w:rsidRDefault="00C74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C43" w:rsidRDefault="00C74C43">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C43" w:rsidRDefault="00C74C43">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EAE"/>
    <w:multiLevelType w:val="hybridMultilevel"/>
    <w:tmpl w:val="91A6F7EC"/>
    <w:numStyleLink w:val="ImportedStyle4"/>
  </w:abstractNum>
  <w:abstractNum w:abstractNumId="1" w15:restartNumberingAfterBreak="0">
    <w:nsid w:val="0599014D"/>
    <w:multiLevelType w:val="hybridMultilevel"/>
    <w:tmpl w:val="7F380646"/>
    <w:numStyleLink w:val="ImportedStyle22"/>
  </w:abstractNum>
  <w:abstractNum w:abstractNumId="2" w15:restartNumberingAfterBreak="0">
    <w:nsid w:val="07DD5CFA"/>
    <w:multiLevelType w:val="hybridMultilevel"/>
    <w:tmpl w:val="4CDAB26C"/>
    <w:numStyleLink w:val="ImportedStyle7"/>
  </w:abstractNum>
  <w:abstractNum w:abstractNumId="3" w15:restartNumberingAfterBreak="0">
    <w:nsid w:val="0891566D"/>
    <w:multiLevelType w:val="hybridMultilevel"/>
    <w:tmpl w:val="CF126EE0"/>
    <w:styleLink w:val="ImportedStyle18"/>
    <w:lvl w:ilvl="0" w:tplc="193219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F2EA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8C6E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8E43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E060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ECC4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5A70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BEA1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EE5B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9E41791"/>
    <w:multiLevelType w:val="hybridMultilevel"/>
    <w:tmpl w:val="0DA82E44"/>
    <w:numStyleLink w:val="ImportedStyle19"/>
  </w:abstractNum>
  <w:abstractNum w:abstractNumId="5" w15:restartNumberingAfterBreak="0">
    <w:nsid w:val="0ECA1C6D"/>
    <w:multiLevelType w:val="hybridMultilevel"/>
    <w:tmpl w:val="4E2C3FEA"/>
    <w:styleLink w:val="ImportedStyle10"/>
    <w:lvl w:ilvl="0" w:tplc="7700B5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FE2D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C424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A2F1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FCE8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1A29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82FE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C8E0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B4E5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EE81745"/>
    <w:multiLevelType w:val="hybridMultilevel"/>
    <w:tmpl w:val="57920738"/>
    <w:numStyleLink w:val="ImportedStyle20"/>
  </w:abstractNum>
  <w:abstractNum w:abstractNumId="7" w15:restartNumberingAfterBreak="0">
    <w:nsid w:val="11F50D86"/>
    <w:multiLevelType w:val="hybridMultilevel"/>
    <w:tmpl w:val="0EF2A494"/>
    <w:styleLink w:val="ImportedStyle12"/>
    <w:lvl w:ilvl="0" w:tplc="368E2F7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5A742E">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B8EA2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AA7414">
      <w:start w:val="1"/>
      <w:numFmt w:val="bullet"/>
      <w:lvlText w:val="·"/>
      <w:lvlJc w:val="left"/>
      <w:pPr>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E86252">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F203C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6647B0">
      <w:start w:val="1"/>
      <w:numFmt w:val="bullet"/>
      <w:lvlText w:val="·"/>
      <w:lvlJc w:val="left"/>
      <w:pPr>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3E1E22">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0E4896">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3D333C"/>
    <w:multiLevelType w:val="hybridMultilevel"/>
    <w:tmpl w:val="DC7E63B4"/>
    <w:numStyleLink w:val="ImportedStyle13"/>
  </w:abstractNum>
  <w:abstractNum w:abstractNumId="9" w15:restartNumberingAfterBreak="0">
    <w:nsid w:val="17E97FB3"/>
    <w:multiLevelType w:val="hybridMultilevel"/>
    <w:tmpl w:val="FA9A848A"/>
    <w:numStyleLink w:val="ImportedStyle16"/>
  </w:abstractNum>
  <w:abstractNum w:abstractNumId="10" w15:restartNumberingAfterBreak="0">
    <w:nsid w:val="19C66DBE"/>
    <w:multiLevelType w:val="hybridMultilevel"/>
    <w:tmpl w:val="643CD9F0"/>
    <w:numStyleLink w:val="ImportedStyle17"/>
  </w:abstractNum>
  <w:abstractNum w:abstractNumId="11" w15:restartNumberingAfterBreak="0">
    <w:nsid w:val="1C453FF9"/>
    <w:multiLevelType w:val="hybridMultilevel"/>
    <w:tmpl w:val="D408F6FE"/>
    <w:styleLink w:val="ImportedStyle24"/>
    <w:lvl w:ilvl="0" w:tplc="2E721C9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52A0F8">
      <w:start w:val="1"/>
      <w:numFmt w:val="bullet"/>
      <w:lvlText w:val="o"/>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A089690">
      <w:start w:val="1"/>
      <w:numFmt w:val="bullet"/>
      <w:lvlText w:val="▪"/>
      <w:lvlJc w:val="left"/>
      <w:pPr>
        <w:ind w:left="7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78690C0">
      <w:start w:val="1"/>
      <w:numFmt w:val="bullet"/>
      <w:lvlText w:val="•"/>
      <w:lvlJc w:val="left"/>
      <w:pPr>
        <w:ind w:left="14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788CE08">
      <w:start w:val="1"/>
      <w:numFmt w:val="bullet"/>
      <w:lvlText w:val="o"/>
      <w:lvlJc w:val="left"/>
      <w:pPr>
        <w:ind w:left="21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2805154">
      <w:start w:val="1"/>
      <w:numFmt w:val="bullet"/>
      <w:lvlText w:val="▪"/>
      <w:lvlJc w:val="left"/>
      <w:pPr>
        <w:ind w:left="288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7701EEE">
      <w:start w:val="1"/>
      <w:numFmt w:val="bullet"/>
      <w:lvlText w:val="•"/>
      <w:lvlJc w:val="left"/>
      <w:pPr>
        <w:ind w:left="360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636C83C">
      <w:start w:val="1"/>
      <w:numFmt w:val="bullet"/>
      <w:lvlText w:val="o"/>
      <w:lvlJc w:val="left"/>
      <w:pPr>
        <w:ind w:left="43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88CC2EA">
      <w:start w:val="1"/>
      <w:numFmt w:val="bullet"/>
      <w:lvlText w:val="▪"/>
      <w:lvlJc w:val="left"/>
      <w:pPr>
        <w:ind w:left="50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CCC6B28"/>
    <w:multiLevelType w:val="hybridMultilevel"/>
    <w:tmpl w:val="A1084D54"/>
    <w:numStyleLink w:val="ImportedStyle25"/>
  </w:abstractNum>
  <w:abstractNum w:abstractNumId="13" w15:restartNumberingAfterBreak="0">
    <w:nsid w:val="1E7B15B6"/>
    <w:multiLevelType w:val="hybridMultilevel"/>
    <w:tmpl w:val="5AB40B30"/>
    <w:styleLink w:val="ImportedStyle1"/>
    <w:lvl w:ilvl="0" w:tplc="86E20E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341B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88C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2A64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06BF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A44A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7230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AF8C3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285B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B76ABF"/>
    <w:multiLevelType w:val="hybridMultilevel"/>
    <w:tmpl w:val="CF126EE0"/>
    <w:numStyleLink w:val="ImportedStyle18"/>
  </w:abstractNum>
  <w:abstractNum w:abstractNumId="15" w15:restartNumberingAfterBreak="0">
    <w:nsid w:val="1FC63856"/>
    <w:multiLevelType w:val="hybridMultilevel"/>
    <w:tmpl w:val="5AB40B30"/>
    <w:numStyleLink w:val="ImportedStyle1"/>
  </w:abstractNum>
  <w:abstractNum w:abstractNumId="16" w15:restartNumberingAfterBreak="0">
    <w:nsid w:val="2708100F"/>
    <w:multiLevelType w:val="hybridMultilevel"/>
    <w:tmpl w:val="BC6E51FC"/>
    <w:numStyleLink w:val="ImportedStyle5"/>
  </w:abstractNum>
  <w:abstractNum w:abstractNumId="17" w15:restartNumberingAfterBreak="0">
    <w:nsid w:val="2B9121AB"/>
    <w:multiLevelType w:val="hybridMultilevel"/>
    <w:tmpl w:val="D6AAE460"/>
    <w:numStyleLink w:val="ImportedStyle8"/>
  </w:abstractNum>
  <w:abstractNum w:abstractNumId="18" w15:restartNumberingAfterBreak="0">
    <w:nsid w:val="2CAC0254"/>
    <w:multiLevelType w:val="hybridMultilevel"/>
    <w:tmpl w:val="0DA82E44"/>
    <w:styleLink w:val="ImportedStyle19"/>
    <w:lvl w:ilvl="0" w:tplc="71DA14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90AA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F8C8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6081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06F3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D61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E8AC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5AFD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603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25B06"/>
    <w:multiLevelType w:val="hybridMultilevel"/>
    <w:tmpl w:val="57920738"/>
    <w:styleLink w:val="ImportedStyle20"/>
    <w:lvl w:ilvl="0" w:tplc="6AB86E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875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265E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1220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66DF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A62A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D62B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8415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98A3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CC71145"/>
    <w:multiLevelType w:val="hybridMultilevel"/>
    <w:tmpl w:val="8CD67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F3CB1"/>
    <w:multiLevelType w:val="hybridMultilevel"/>
    <w:tmpl w:val="9DFC5712"/>
    <w:numStyleLink w:val="ImportedStyle23"/>
  </w:abstractNum>
  <w:abstractNum w:abstractNumId="22" w15:restartNumberingAfterBreak="0">
    <w:nsid w:val="335C124A"/>
    <w:multiLevelType w:val="hybridMultilevel"/>
    <w:tmpl w:val="7D62B8AE"/>
    <w:numStyleLink w:val="ImportedStyle15"/>
  </w:abstractNum>
  <w:abstractNum w:abstractNumId="23" w15:restartNumberingAfterBreak="0">
    <w:nsid w:val="33C373D8"/>
    <w:multiLevelType w:val="hybridMultilevel"/>
    <w:tmpl w:val="082CE916"/>
    <w:styleLink w:val="ImportedStyle3"/>
    <w:lvl w:ilvl="0" w:tplc="8ACAC9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2CB6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EE82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4AC9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9205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08CF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C497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705E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3028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B8E793A"/>
    <w:multiLevelType w:val="hybridMultilevel"/>
    <w:tmpl w:val="0EF2A494"/>
    <w:numStyleLink w:val="ImportedStyle12"/>
  </w:abstractNum>
  <w:abstractNum w:abstractNumId="25" w15:restartNumberingAfterBreak="0">
    <w:nsid w:val="458A7DDD"/>
    <w:multiLevelType w:val="hybridMultilevel"/>
    <w:tmpl w:val="52F05A1A"/>
    <w:numStyleLink w:val="ImportedStyle26"/>
  </w:abstractNum>
  <w:abstractNum w:abstractNumId="26" w15:restartNumberingAfterBreak="0">
    <w:nsid w:val="46451489"/>
    <w:multiLevelType w:val="hybridMultilevel"/>
    <w:tmpl w:val="E0604A50"/>
    <w:styleLink w:val="ImportedStyle21"/>
    <w:lvl w:ilvl="0" w:tplc="395291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AAB8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FED2B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38C2D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949F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480C2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FEADF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C0C3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E84CFD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6CA78FF"/>
    <w:multiLevelType w:val="hybridMultilevel"/>
    <w:tmpl w:val="7AAA71E4"/>
    <w:numStyleLink w:val="ImportedStyle2"/>
  </w:abstractNum>
  <w:abstractNum w:abstractNumId="28" w15:restartNumberingAfterBreak="0">
    <w:nsid w:val="483C7BDA"/>
    <w:multiLevelType w:val="hybridMultilevel"/>
    <w:tmpl w:val="7AAA71E4"/>
    <w:styleLink w:val="ImportedStyle2"/>
    <w:lvl w:ilvl="0" w:tplc="907439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FC73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A836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446B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6E50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9EFB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E68F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12C8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CC14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9934F16"/>
    <w:multiLevelType w:val="hybridMultilevel"/>
    <w:tmpl w:val="91A6F7EC"/>
    <w:styleLink w:val="ImportedStyle4"/>
    <w:lvl w:ilvl="0" w:tplc="A7F03F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A275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02D0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9498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5A7F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02D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5809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4289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50C2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B537476"/>
    <w:multiLevelType w:val="hybridMultilevel"/>
    <w:tmpl w:val="5BB6C638"/>
    <w:numStyleLink w:val="ImportedStyle9"/>
  </w:abstractNum>
  <w:abstractNum w:abstractNumId="31" w15:restartNumberingAfterBreak="0">
    <w:nsid w:val="4ED4696B"/>
    <w:multiLevelType w:val="hybridMultilevel"/>
    <w:tmpl w:val="DC7E63B4"/>
    <w:styleLink w:val="ImportedStyle13"/>
    <w:lvl w:ilvl="0" w:tplc="48C6462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9CE07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105F36">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0C0232">
      <w:start w:val="1"/>
      <w:numFmt w:val="bullet"/>
      <w:lvlText w:val="·"/>
      <w:lvlJc w:val="left"/>
      <w:pPr>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94961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04C58C">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36D11C">
      <w:start w:val="1"/>
      <w:numFmt w:val="bullet"/>
      <w:lvlText w:val="·"/>
      <w:lvlJc w:val="left"/>
      <w:pPr>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14CF8C">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7CA7AE">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0B916E0"/>
    <w:multiLevelType w:val="hybridMultilevel"/>
    <w:tmpl w:val="643CD9F0"/>
    <w:styleLink w:val="ImportedStyle17"/>
    <w:lvl w:ilvl="0" w:tplc="5B16D9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708B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40F3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A698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4C6F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10EA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8000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9467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1831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0F5034E"/>
    <w:multiLevelType w:val="hybridMultilevel"/>
    <w:tmpl w:val="082CE916"/>
    <w:numStyleLink w:val="ImportedStyle3"/>
  </w:abstractNum>
  <w:abstractNum w:abstractNumId="34" w15:restartNumberingAfterBreak="0">
    <w:nsid w:val="52235F42"/>
    <w:multiLevelType w:val="hybridMultilevel"/>
    <w:tmpl w:val="B1FED5C2"/>
    <w:numStyleLink w:val="ImportedStyle6"/>
  </w:abstractNum>
  <w:abstractNum w:abstractNumId="35" w15:restartNumberingAfterBreak="0">
    <w:nsid w:val="52A00A9E"/>
    <w:multiLevelType w:val="hybridMultilevel"/>
    <w:tmpl w:val="D408F6FE"/>
    <w:numStyleLink w:val="ImportedStyle24"/>
  </w:abstractNum>
  <w:abstractNum w:abstractNumId="36" w15:restartNumberingAfterBreak="0">
    <w:nsid w:val="54854098"/>
    <w:multiLevelType w:val="hybridMultilevel"/>
    <w:tmpl w:val="7D62B8AE"/>
    <w:styleLink w:val="ImportedStyle15"/>
    <w:lvl w:ilvl="0" w:tplc="821E2D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B802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2219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9A65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9EF9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6045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B816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8A4B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9CD1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4FB6DAF"/>
    <w:multiLevelType w:val="hybridMultilevel"/>
    <w:tmpl w:val="E0604A50"/>
    <w:numStyleLink w:val="ImportedStyle21"/>
  </w:abstractNum>
  <w:abstractNum w:abstractNumId="38" w15:restartNumberingAfterBreak="0">
    <w:nsid w:val="561235E8"/>
    <w:multiLevelType w:val="hybridMultilevel"/>
    <w:tmpl w:val="0D76C6C0"/>
    <w:numStyleLink w:val="ImportedStyle11"/>
  </w:abstractNum>
  <w:abstractNum w:abstractNumId="39" w15:restartNumberingAfterBreak="0">
    <w:nsid w:val="585B544B"/>
    <w:multiLevelType w:val="hybridMultilevel"/>
    <w:tmpl w:val="FA9A848A"/>
    <w:styleLink w:val="ImportedStyle16"/>
    <w:lvl w:ilvl="0" w:tplc="2154F2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5AF1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2A28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D868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60E6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FCBC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8A187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66A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EE05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CC83329"/>
    <w:multiLevelType w:val="hybridMultilevel"/>
    <w:tmpl w:val="B1FED5C2"/>
    <w:styleLink w:val="ImportedStyle6"/>
    <w:lvl w:ilvl="0" w:tplc="0CF09A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62D5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D044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C0A2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28EC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C0C3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3454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7096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308D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F7609D1"/>
    <w:multiLevelType w:val="hybridMultilevel"/>
    <w:tmpl w:val="A1084D54"/>
    <w:styleLink w:val="ImportedStyle25"/>
    <w:lvl w:ilvl="0" w:tplc="0F0CB2AC">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83C08E0">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4BC5A64">
      <w:start w:val="1"/>
      <w:numFmt w:val="lowerRoman"/>
      <w:lvlText w:val="%3."/>
      <w:lvlJc w:val="left"/>
      <w:pPr>
        <w:ind w:left="1440" w:hanging="673"/>
      </w:pPr>
      <w:rPr>
        <w:rFonts w:hAnsi="Arial Unicode MS"/>
        <w:caps w:val="0"/>
        <w:smallCaps w:val="0"/>
        <w:strike w:val="0"/>
        <w:dstrike w:val="0"/>
        <w:outline w:val="0"/>
        <w:emboss w:val="0"/>
        <w:imprint w:val="0"/>
        <w:spacing w:val="0"/>
        <w:w w:val="100"/>
        <w:kern w:val="0"/>
        <w:position w:val="0"/>
        <w:highlight w:val="none"/>
        <w:vertAlign w:val="baseline"/>
      </w:rPr>
    </w:lvl>
    <w:lvl w:ilvl="3" w:tplc="463CBDB6">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5404756">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B32DCDE">
      <w:start w:val="1"/>
      <w:numFmt w:val="lowerRoman"/>
      <w:lvlText w:val="%6."/>
      <w:lvlJc w:val="left"/>
      <w:pPr>
        <w:ind w:left="3600" w:hanging="673"/>
      </w:pPr>
      <w:rPr>
        <w:rFonts w:hAnsi="Arial Unicode MS"/>
        <w:caps w:val="0"/>
        <w:smallCaps w:val="0"/>
        <w:strike w:val="0"/>
        <w:dstrike w:val="0"/>
        <w:outline w:val="0"/>
        <w:emboss w:val="0"/>
        <w:imprint w:val="0"/>
        <w:spacing w:val="0"/>
        <w:w w:val="100"/>
        <w:kern w:val="0"/>
        <w:position w:val="0"/>
        <w:highlight w:val="none"/>
        <w:vertAlign w:val="baseline"/>
      </w:rPr>
    </w:lvl>
    <w:lvl w:ilvl="6" w:tplc="F10045BA">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D4208F0">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3A425120">
      <w:start w:val="1"/>
      <w:numFmt w:val="lowerRoman"/>
      <w:lvlText w:val="%9."/>
      <w:lvlJc w:val="left"/>
      <w:pPr>
        <w:ind w:left="576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1D45525"/>
    <w:multiLevelType w:val="hybridMultilevel"/>
    <w:tmpl w:val="7F380646"/>
    <w:styleLink w:val="ImportedStyle22"/>
    <w:lvl w:ilvl="0" w:tplc="F0EE86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4EDF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4432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0EB2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BC66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4E76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EA02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7441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BC2D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4A964B2"/>
    <w:multiLevelType w:val="hybridMultilevel"/>
    <w:tmpl w:val="BC6E51FC"/>
    <w:styleLink w:val="ImportedStyle5"/>
    <w:lvl w:ilvl="0" w:tplc="B3CC1A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7CE3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2A0E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4A93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7CC9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EE1F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7E0E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F852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A29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9B938CF"/>
    <w:multiLevelType w:val="hybridMultilevel"/>
    <w:tmpl w:val="4CDAB26C"/>
    <w:styleLink w:val="ImportedStyle7"/>
    <w:lvl w:ilvl="0" w:tplc="56763F5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2EA7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E4BF0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9B8D6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F423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3C16D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6F617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60E5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4C86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AD53C96"/>
    <w:multiLevelType w:val="hybridMultilevel"/>
    <w:tmpl w:val="4E2C3FEA"/>
    <w:numStyleLink w:val="ImportedStyle10"/>
  </w:abstractNum>
  <w:abstractNum w:abstractNumId="46" w15:restartNumberingAfterBreak="0">
    <w:nsid w:val="6C1A666F"/>
    <w:multiLevelType w:val="hybridMultilevel"/>
    <w:tmpl w:val="0D76C6C0"/>
    <w:styleLink w:val="ImportedStyle11"/>
    <w:lvl w:ilvl="0" w:tplc="45A64C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801AD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CFA242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70EC80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5F4B93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D08F25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FA68D4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2ACEE4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13E0DB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F531C0C"/>
    <w:multiLevelType w:val="hybridMultilevel"/>
    <w:tmpl w:val="52F05A1A"/>
    <w:styleLink w:val="ImportedStyle26"/>
    <w:lvl w:ilvl="0" w:tplc="292E15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C03B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78F9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0639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980E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9CCB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68D8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D66F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084A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684CDC"/>
    <w:multiLevelType w:val="hybridMultilevel"/>
    <w:tmpl w:val="9DFC5712"/>
    <w:styleLink w:val="ImportedStyle23"/>
    <w:lvl w:ilvl="0" w:tplc="CED206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4E8F5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48BC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3468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9846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188D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78DB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5044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DE4A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468029F"/>
    <w:multiLevelType w:val="hybridMultilevel"/>
    <w:tmpl w:val="5BB6C638"/>
    <w:styleLink w:val="ImportedStyle9"/>
    <w:lvl w:ilvl="0" w:tplc="D7205D4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F0C41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58FA9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D6F76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F8F8F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4A50D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9A2D4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F4F3B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182F8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CD675B8"/>
    <w:multiLevelType w:val="hybridMultilevel"/>
    <w:tmpl w:val="D6AAE460"/>
    <w:styleLink w:val="ImportedStyle8"/>
    <w:lvl w:ilvl="0" w:tplc="FAB454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D432A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7D6251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BD0F40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B085A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2D2294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2FE022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26056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AAC215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15"/>
  </w:num>
  <w:num w:numId="3">
    <w:abstractNumId w:val="28"/>
  </w:num>
  <w:num w:numId="4">
    <w:abstractNumId w:val="27"/>
  </w:num>
  <w:num w:numId="5">
    <w:abstractNumId w:val="23"/>
  </w:num>
  <w:num w:numId="6">
    <w:abstractNumId w:val="33"/>
  </w:num>
  <w:num w:numId="7">
    <w:abstractNumId w:val="29"/>
  </w:num>
  <w:num w:numId="8">
    <w:abstractNumId w:val="0"/>
  </w:num>
  <w:num w:numId="9">
    <w:abstractNumId w:val="43"/>
  </w:num>
  <w:num w:numId="10">
    <w:abstractNumId w:val="16"/>
  </w:num>
  <w:num w:numId="11">
    <w:abstractNumId w:val="40"/>
  </w:num>
  <w:num w:numId="12">
    <w:abstractNumId w:val="34"/>
  </w:num>
  <w:num w:numId="13">
    <w:abstractNumId w:val="44"/>
  </w:num>
  <w:num w:numId="14">
    <w:abstractNumId w:val="2"/>
  </w:num>
  <w:num w:numId="15">
    <w:abstractNumId w:val="50"/>
  </w:num>
  <w:num w:numId="16">
    <w:abstractNumId w:val="17"/>
  </w:num>
  <w:num w:numId="17">
    <w:abstractNumId w:val="49"/>
  </w:num>
  <w:num w:numId="18">
    <w:abstractNumId w:val="30"/>
  </w:num>
  <w:num w:numId="19">
    <w:abstractNumId w:val="5"/>
  </w:num>
  <w:num w:numId="20">
    <w:abstractNumId w:val="45"/>
  </w:num>
  <w:num w:numId="21">
    <w:abstractNumId w:val="46"/>
  </w:num>
  <w:num w:numId="22">
    <w:abstractNumId w:val="38"/>
  </w:num>
  <w:num w:numId="23">
    <w:abstractNumId w:val="7"/>
  </w:num>
  <w:num w:numId="24">
    <w:abstractNumId w:val="24"/>
  </w:num>
  <w:num w:numId="25">
    <w:abstractNumId w:val="24"/>
    <w:lvlOverride w:ilvl="0">
      <w:lvl w:ilvl="0" w:tplc="D8A6F3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50CE7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EC2EE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DE8BB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FF6C9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678AD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876EA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EA240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A269C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31"/>
  </w:num>
  <w:num w:numId="27">
    <w:abstractNumId w:val="8"/>
  </w:num>
  <w:num w:numId="28">
    <w:abstractNumId w:val="36"/>
  </w:num>
  <w:num w:numId="29">
    <w:abstractNumId w:val="22"/>
  </w:num>
  <w:num w:numId="30">
    <w:abstractNumId w:val="39"/>
  </w:num>
  <w:num w:numId="31">
    <w:abstractNumId w:val="9"/>
  </w:num>
  <w:num w:numId="32">
    <w:abstractNumId w:val="32"/>
  </w:num>
  <w:num w:numId="33">
    <w:abstractNumId w:val="10"/>
  </w:num>
  <w:num w:numId="34">
    <w:abstractNumId w:val="3"/>
  </w:num>
  <w:num w:numId="35">
    <w:abstractNumId w:val="14"/>
  </w:num>
  <w:num w:numId="36">
    <w:abstractNumId w:val="18"/>
  </w:num>
  <w:num w:numId="37">
    <w:abstractNumId w:val="4"/>
  </w:num>
  <w:num w:numId="38">
    <w:abstractNumId w:val="19"/>
  </w:num>
  <w:num w:numId="39">
    <w:abstractNumId w:val="6"/>
  </w:num>
  <w:num w:numId="40">
    <w:abstractNumId w:val="26"/>
  </w:num>
  <w:num w:numId="41">
    <w:abstractNumId w:val="37"/>
  </w:num>
  <w:num w:numId="42">
    <w:abstractNumId w:val="42"/>
  </w:num>
  <w:num w:numId="43">
    <w:abstractNumId w:val="1"/>
  </w:num>
  <w:num w:numId="44">
    <w:abstractNumId w:val="48"/>
  </w:num>
  <w:num w:numId="45">
    <w:abstractNumId w:val="21"/>
  </w:num>
  <w:num w:numId="46">
    <w:abstractNumId w:val="11"/>
  </w:num>
  <w:num w:numId="47">
    <w:abstractNumId w:val="35"/>
  </w:num>
  <w:num w:numId="48">
    <w:abstractNumId w:val="35"/>
    <w:lvlOverride w:ilvl="0">
      <w:lvl w:ilvl="0" w:tplc="9782FAB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CA8537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20642F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FA6C0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09244C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ECCD6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5F2588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A0E99B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73A6AF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9">
    <w:abstractNumId w:val="41"/>
  </w:num>
  <w:num w:numId="50">
    <w:abstractNumId w:val="12"/>
  </w:num>
  <w:num w:numId="51">
    <w:abstractNumId w:val="47"/>
  </w:num>
  <w:num w:numId="52">
    <w:abstractNumId w:val="25"/>
  </w:num>
  <w:num w:numId="53">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2D7"/>
    <w:rsid w:val="000B69D1"/>
    <w:rsid w:val="001270F0"/>
    <w:rsid w:val="00142EDB"/>
    <w:rsid w:val="00190D59"/>
    <w:rsid w:val="00192D64"/>
    <w:rsid w:val="001C0AC7"/>
    <w:rsid w:val="001E4CAB"/>
    <w:rsid w:val="00330BBC"/>
    <w:rsid w:val="00366B15"/>
    <w:rsid w:val="0044196E"/>
    <w:rsid w:val="005E45B4"/>
    <w:rsid w:val="00626C67"/>
    <w:rsid w:val="006932E3"/>
    <w:rsid w:val="00722EEC"/>
    <w:rsid w:val="007530C5"/>
    <w:rsid w:val="007C083F"/>
    <w:rsid w:val="007E1053"/>
    <w:rsid w:val="00897781"/>
    <w:rsid w:val="008B77AC"/>
    <w:rsid w:val="00921C1B"/>
    <w:rsid w:val="00956543"/>
    <w:rsid w:val="009A32D7"/>
    <w:rsid w:val="009E142A"/>
    <w:rsid w:val="00A04E55"/>
    <w:rsid w:val="00AC1365"/>
    <w:rsid w:val="00AC5552"/>
    <w:rsid w:val="00AE1145"/>
    <w:rsid w:val="00AF5D86"/>
    <w:rsid w:val="00BE6CA3"/>
    <w:rsid w:val="00C67A44"/>
    <w:rsid w:val="00C74C43"/>
    <w:rsid w:val="00D72E89"/>
    <w:rsid w:val="00DE12FF"/>
    <w:rsid w:val="00E03C57"/>
    <w:rsid w:val="00EC6354"/>
    <w:rsid w:val="00F05EB6"/>
    <w:rsid w:val="00F27317"/>
    <w:rsid w:val="00FB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2FEE1-B7E6-F245-9775-FD1ED9B1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27317"/>
    <w:pPr>
      <w:keepNext/>
      <w:keepLines/>
      <w:spacing w:before="240"/>
      <w:outlineLvl w:val="0"/>
    </w:pPr>
    <w:rPr>
      <w:rFonts w:asciiTheme="majorHAnsi" w:eastAsiaTheme="majorEastAsia" w:hAnsiTheme="majorHAnsi" w:cstheme="majorBidi"/>
      <w:color w:val="0079B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Header">
    <w:name w:val="header"/>
    <w:pPr>
      <w:tabs>
        <w:tab w:val="center" w:pos="4680"/>
        <w:tab w:val="right" w:pos="9360"/>
      </w:tabs>
    </w:pPr>
    <w:rPr>
      <w:rFonts w:eastAsia="Times New Roman"/>
      <w:color w:val="000000"/>
      <w:sz w:val="24"/>
      <w:szCs w:val="24"/>
      <w:u w:color="000000"/>
    </w:rPr>
  </w:style>
  <w:style w:type="paragraph" w:customStyle="1" w:styleId="BodyA">
    <w:name w:val="Body A"/>
    <w:pPr>
      <w:spacing w:after="100" w:line="264" w:lineRule="auto"/>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Heading">
    <w:name w:val="Heading"/>
    <w:next w:val="BodyA"/>
    <w:pPr>
      <w:keepNext/>
      <w:spacing w:before="100" w:after="100"/>
      <w:outlineLvl w:val="0"/>
    </w:pPr>
    <w:rPr>
      <w:rFonts w:ascii="Arial" w:hAnsi="Arial" w:cs="Arial Unicode MS"/>
      <w:b/>
      <w:bCs/>
      <w:smallCaps/>
      <w:color w:val="0433FF"/>
      <w:sz w:val="30"/>
      <w:szCs w:val="30"/>
      <w:u w:color="0433FF"/>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0433FF"/>
      <w:u w:val="single" w:color="0433FF"/>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character" w:customStyle="1" w:styleId="Link">
    <w:name w:val="Link"/>
    <w:rPr>
      <w:outline w:val="0"/>
      <w:color w:val="0000FF"/>
      <w:u w:val="single" w:color="0000FF"/>
    </w:rPr>
  </w:style>
  <w:style w:type="character" w:customStyle="1" w:styleId="Hyperlink1">
    <w:name w:val="Hyperlink.1"/>
    <w:basedOn w:val="Link"/>
    <w:rPr>
      <w:outline w:val="0"/>
      <w:color w:val="0432FF"/>
      <w:u w:val="single" w:color="0432FF"/>
    </w:rPr>
  </w:style>
  <w:style w:type="numbering" w:customStyle="1" w:styleId="ImportedStyle9">
    <w:name w:val="Imported Style 9"/>
    <w:pPr>
      <w:numPr>
        <w:numId w:val="17"/>
      </w:numPr>
    </w:pPr>
  </w:style>
  <w:style w:type="paragraph" w:styleId="FootnoteText">
    <w:name w:val="footnote text"/>
    <w:rPr>
      <w:rFonts w:eastAsia="Times New Roman"/>
      <w:color w:val="000000"/>
      <w:u w:color="000000"/>
    </w:rPr>
  </w:style>
  <w:style w:type="character" w:styleId="FootnoteReference">
    <w:name w:val="footnote reference"/>
    <w:rPr>
      <w:vertAlign w:val="superscript"/>
    </w:r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6"/>
      </w:numPr>
    </w:pPr>
  </w:style>
  <w:style w:type="character" w:customStyle="1" w:styleId="Hyperlink2">
    <w:name w:val="Hyperlink.2"/>
    <w:basedOn w:val="Link"/>
    <w:rPr>
      <w:i/>
      <w:iCs/>
      <w:outline w:val="0"/>
      <w:color w:val="0432FF"/>
      <w:u w:val="single" w:color="0432FF"/>
    </w:rPr>
  </w:style>
  <w:style w:type="numbering" w:customStyle="1" w:styleId="ImportedStyle15">
    <w:name w:val="Imported Style 15"/>
    <w:pPr>
      <w:numPr>
        <w:numId w:val="28"/>
      </w:numPr>
    </w:pPr>
  </w:style>
  <w:style w:type="character" w:customStyle="1" w:styleId="Hyperlink3">
    <w:name w:val="Hyperlink.3"/>
    <w:basedOn w:val="Link"/>
    <w:rPr>
      <w:rFonts w:ascii="Arial" w:eastAsia="Arial" w:hAnsi="Arial" w:cs="Arial"/>
      <w:i/>
      <w:iCs/>
      <w:outline w:val="0"/>
      <w:color w:val="0432FF"/>
      <w:u w:val="single" w:color="0432FF"/>
    </w:rPr>
  </w:style>
  <w:style w:type="numbering" w:customStyle="1" w:styleId="ImportedStyle16">
    <w:name w:val="Imported Style 16"/>
    <w:pPr>
      <w:numPr>
        <w:numId w:val="30"/>
      </w:numPr>
    </w:pPr>
  </w:style>
  <w:style w:type="numbering" w:customStyle="1" w:styleId="ImportedStyle17">
    <w:name w:val="Imported Style 17"/>
    <w:pPr>
      <w:numPr>
        <w:numId w:val="32"/>
      </w:numPr>
    </w:pPr>
  </w:style>
  <w:style w:type="numbering" w:customStyle="1" w:styleId="ImportedStyle18">
    <w:name w:val="Imported Style 18"/>
    <w:pPr>
      <w:numPr>
        <w:numId w:val="34"/>
      </w:numPr>
    </w:pPr>
  </w:style>
  <w:style w:type="character" w:customStyle="1" w:styleId="Hyperlink4">
    <w:name w:val="Hyperlink.4"/>
    <w:basedOn w:val="Link"/>
    <w:rPr>
      <w:rFonts w:ascii="Arial" w:eastAsia="Arial" w:hAnsi="Arial" w:cs="Arial"/>
      <w:outline w:val="0"/>
      <w:color w:val="0432FF"/>
      <w:u w:val="single" w:color="0432FF"/>
    </w:rPr>
  </w:style>
  <w:style w:type="character" w:customStyle="1" w:styleId="Hyperlink5">
    <w:name w:val="Hyperlink.5"/>
    <w:basedOn w:val="Link"/>
    <w:rPr>
      <w:rFonts w:ascii="Arial" w:eastAsia="Arial" w:hAnsi="Arial" w:cs="Arial"/>
      <w:b/>
      <w:bCs/>
      <w:outline w:val="0"/>
      <w:color w:val="0432FF"/>
      <w:u w:val="single" w:color="0432FF"/>
    </w:rPr>
  </w:style>
  <w:style w:type="numbering" w:customStyle="1" w:styleId="ImportedStyle19">
    <w:name w:val="Imported Style 19"/>
    <w:pPr>
      <w:numPr>
        <w:numId w:val="36"/>
      </w:numPr>
    </w:pPr>
  </w:style>
  <w:style w:type="numbering" w:customStyle="1" w:styleId="ImportedStyle20">
    <w:name w:val="Imported Style 20"/>
    <w:pPr>
      <w:numPr>
        <w:numId w:val="38"/>
      </w:numPr>
    </w:pPr>
  </w:style>
  <w:style w:type="character" w:customStyle="1" w:styleId="Hyperlink6">
    <w:name w:val="Hyperlink.6"/>
    <w:basedOn w:val="Link"/>
    <w:rPr>
      <w:rFonts w:ascii="Arial" w:eastAsia="Arial" w:hAnsi="Arial" w:cs="Arial"/>
      <w:outline w:val="0"/>
      <w:color w:val="000000"/>
      <w:u w:val="single" w:color="000000"/>
    </w:rPr>
  </w:style>
  <w:style w:type="numbering" w:customStyle="1" w:styleId="ImportedStyle21">
    <w:name w:val="Imported Style 21"/>
    <w:pPr>
      <w:numPr>
        <w:numId w:val="40"/>
      </w:numPr>
    </w:pPr>
  </w:style>
  <w:style w:type="numbering" w:customStyle="1" w:styleId="ImportedStyle22">
    <w:name w:val="Imported Style 22"/>
    <w:pPr>
      <w:numPr>
        <w:numId w:val="42"/>
      </w:numPr>
    </w:pPr>
  </w:style>
  <w:style w:type="numbering" w:customStyle="1" w:styleId="ImportedStyle23">
    <w:name w:val="Imported Style 23"/>
    <w:pPr>
      <w:numPr>
        <w:numId w:val="44"/>
      </w:numPr>
    </w:pPr>
  </w:style>
  <w:style w:type="numbering" w:customStyle="1" w:styleId="ImportedStyle24">
    <w:name w:val="Imported Style 24"/>
    <w:pPr>
      <w:numPr>
        <w:numId w:val="46"/>
      </w:numPr>
    </w:pPr>
  </w:style>
  <w:style w:type="character" w:customStyle="1" w:styleId="Hyperlink7">
    <w:name w:val="Hyperlink.7"/>
    <w:basedOn w:val="Link"/>
    <w:rPr>
      <w:outline w:val="0"/>
      <w:color w:val="0432FF"/>
      <w:u w:val="single" w:color="0432FF"/>
      <w:shd w:val="clear" w:color="auto" w:fill="FFFF00"/>
    </w:rPr>
  </w:style>
  <w:style w:type="numbering" w:customStyle="1" w:styleId="ImportedStyle25">
    <w:name w:val="Imported Style 25"/>
    <w:pPr>
      <w:numPr>
        <w:numId w:val="49"/>
      </w:numPr>
    </w:pPr>
  </w:style>
  <w:style w:type="numbering" w:customStyle="1" w:styleId="ImportedStyle26">
    <w:name w:val="Imported Style 26"/>
    <w:pPr>
      <w:numPr>
        <w:numId w:val="51"/>
      </w:numPr>
    </w:pPr>
  </w:style>
  <w:style w:type="paragraph" w:styleId="BalloonText">
    <w:name w:val="Balloon Text"/>
    <w:basedOn w:val="Normal"/>
    <w:link w:val="BalloonTextChar"/>
    <w:uiPriority w:val="99"/>
    <w:semiHidden/>
    <w:unhideWhenUsed/>
    <w:rsid w:val="00142EDB"/>
    <w:rPr>
      <w:sz w:val="18"/>
      <w:szCs w:val="18"/>
    </w:rPr>
  </w:style>
  <w:style w:type="character" w:customStyle="1" w:styleId="BalloonTextChar">
    <w:name w:val="Balloon Text Char"/>
    <w:basedOn w:val="DefaultParagraphFont"/>
    <w:link w:val="BalloonText"/>
    <w:uiPriority w:val="99"/>
    <w:semiHidden/>
    <w:rsid w:val="00142EDB"/>
    <w:rPr>
      <w:sz w:val="18"/>
      <w:szCs w:val="18"/>
    </w:rPr>
  </w:style>
  <w:style w:type="paragraph" w:styleId="Footer">
    <w:name w:val="footer"/>
    <w:basedOn w:val="Normal"/>
    <w:link w:val="FooterChar"/>
    <w:uiPriority w:val="99"/>
    <w:unhideWhenUsed/>
    <w:rsid w:val="00142EDB"/>
    <w:pPr>
      <w:tabs>
        <w:tab w:val="center" w:pos="4680"/>
        <w:tab w:val="right" w:pos="9360"/>
      </w:tabs>
    </w:pPr>
  </w:style>
  <w:style w:type="character" w:customStyle="1" w:styleId="FooterChar">
    <w:name w:val="Footer Char"/>
    <w:basedOn w:val="DefaultParagraphFont"/>
    <w:link w:val="Footer"/>
    <w:uiPriority w:val="99"/>
    <w:rsid w:val="00142EDB"/>
    <w:rPr>
      <w:sz w:val="24"/>
      <w:szCs w:val="24"/>
    </w:rPr>
  </w:style>
  <w:style w:type="character" w:customStyle="1" w:styleId="Heading1Char">
    <w:name w:val="Heading 1 Char"/>
    <w:basedOn w:val="DefaultParagraphFont"/>
    <w:link w:val="Heading1"/>
    <w:uiPriority w:val="9"/>
    <w:rsid w:val="00F27317"/>
    <w:rPr>
      <w:rFonts w:asciiTheme="majorHAnsi" w:eastAsiaTheme="majorEastAsia" w:hAnsiTheme="majorHAnsi" w:cstheme="majorBidi"/>
      <w:color w:val="0079BF"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67756">
      <w:bodyDiv w:val="1"/>
      <w:marLeft w:val="0"/>
      <w:marRight w:val="0"/>
      <w:marTop w:val="0"/>
      <w:marBottom w:val="0"/>
      <w:divBdr>
        <w:top w:val="none" w:sz="0" w:space="0" w:color="auto"/>
        <w:left w:val="none" w:sz="0" w:space="0" w:color="auto"/>
        <w:bottom w:val="none" w:sz="0" w:space="0" w:color="auto"/>
        <w:right w:val="none" w:sz="0" w:space="0" w:color="auto"/>
      </w:divBdr>
    </w:div>
    <w:div w:id="545602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upremecourt.gov/opinions/18pdf/18-6210_2co3.pdf" TargetMode="External"/><Relationship Id="rId18" Type="http://schemas.openxmlformats.org/officeDocument/2006/relationships/hyperlink" Target="https://www.supremecourt.gov/opinions/17pdf/16-1027_7lio.pdf" TargetMode="External"/><Relationship Id="rId26" Type="http://schemas.openxmlformats.org/officeDocument/2006/relationships/hyperlink" Target="https://plants.usda.gov/core/profile?symbol=CASA3" TargetMode="External"/><Relationship Id="rId39" Type="http://schemas.openxmlformats.org/officeDocument/2006/relationships/footer" Target="footer3.xml"/><Relationship Id="rId21" Type="http://schemas.openxmlformats.org/officeDocument/2006/relationships/hyperlink" Target="https://uscode.house.gov/view.xhtml?req=(title:18%2520section:926C%2520edition:prelim)%2520OR%2520(granuleid:USC-prelim-title18-section926C)&amp;f=treesort&amp;edition=prelim&amp;num=0&amp;jumpTo=true" TargetMode="External"/><Relationship Id="rId34"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aw.justia.com/cases/texas/court-of-criminal-appeals/2006/pd-221-04-5.html" TargetMode="External"/><Relationship Id="rId20" Type="http://schemas.openxmlformats.org/officeDocument/2006/relationships/hyperlink" Target="https://www.supremecourt.gov/opinions/17pdf/15-1485diff_758b.pdf" TargetMode="External"/><Relationship Id="rId29" Type="http://schemas.openxmlformats.org/officeDocument/2006/relationships/hyperlink" Target="https://www.legaldictionary.ne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cole.texas.gov/content/technical-assistance-bulletins" TargetMode="External"/><Relationship Id="rId24" Type="http://schemas.openxmlformats.org/officeDocument/2006/relationships/hyperlink" Target="http://www.fsc.state.tx.us/" TargetMode="External"/><Relationship Id="rId32" Type="http://schemas.openxmlformats.org/officeDocument/2006/relationships/hyperlink" Target="https://capitol.texas.gov/Search/BillSearch.aspx"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upremecourt.gov/opinions/17pdf/16-1371_1bn2.pdf" TargetMode="External"/><Relationship Id="rId23" Type="http://schemas.openxmlformats.org/officeDocument/2006/relationships/hyperlink" Target="https://kickapootexas.org/" TargetMode="External"/><Relationship Id="rId28" Type="http://schemas.openxmlformats.org/officeDocument/2006/relationships/hyperlink" Target="https://statutes.capitol.texas.gov/Docs/GV/htm/GV.552.htm" TargetMode="External"/><Relationship Id="rId36" Type="http://schemas.openxmlformats.org/officeDocument/2006/relationships/footer" Target="footer1.xml"/><Relationship Id="rId10" Type="http://schemas.openxmlformats.org/officeDocument/2006/relationships/hyperlink" Target="http://tcole.texas.gov/" TargetMode="External"/><Relationship Id="rId19" Type="http://schemas.openxmlformats.org/officeDocument/2006/relationships/hyperlink" Target="https://www.supremecourt.gov/opinions/17pdf/17-467_bqm1.pdf" TargetMode="External"/><Relationship Id="rId31" Type="http://schemas.openxmlformats.org/officeDocument/2006/relationships/hyperlink" Target="https://www.supremecourt.gov" TargetMode="External"/><Relationship Id="rId4" Type="http://schemas.openxmlformats.org/officeDocument/2006/relationships/webSettings" Target="webSettings.xml"/><Relationship Id="rId9" Type="http://schemas.openxmlformats.org/officeDocument/2006/relationships/hyperlink" Target="mailto:susan.brundage@tcole.texas.gov" TargetMode="External"/><Relationship Id="rId14" Type="http://schemas.openxmlformats.org/officeDocument/2006/relationships/hyperlink" Target="https://www.supremecourt.gov/opinions/17pdf/16-402_h315.pdf" TargetMode="External"/><Relationship Id="rId22" Type="http://schemas.openxmlformats.org/officeDocument/2006/relationships/hyperlink" Target="https://www.usda.gov/oig/" TargetMode="External"/><Relationship Id="rId27" Type="http://schemas.openxmlformats.org/officeDocument/2006/relationships/hyperlink" Target="https://uscode.house.gov/view.xhtml?req=(title:18%2520section:926C%2520edition:prelim)%2520OR%2520(granuleid:USC-prelim-title18-section926C)&amp;f=treesort&amp;edition=prelim&amp;num=0&amp;jumpTo=true" TargetMode="External"/><Relationship Id="rId30" Type="http://schemas.openxmlformats.org/officeDocument/2006/relationships/hyperlink" Target="http://www.ncsl.org/research/agriculture-and-rural-development/state-industrial-hemp-statutes.aspx" TargetMode="External"/><Relationship Id="rId35" Type="http://schemas.openxmlformats.org/officeDocument/2006/relationships/header" Target="header2.xml"/><Relationship Id="rId8" Type="http://schemas.openxmlformats.org/officeDocument/2006/relationships/hyperlink" Target="https://www.supremecourt.gov"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upreme.justia.com/cases/federal/us/584/17-43/" TargetMode="External"/><Relationship Id="rId25" Type="http://schemas.openxmlformats.org/officeDocument/2006/relationships/hyperlink" Target="https://www.ecfr.gov/cgi-bin/retrieveECFR?gp=1&amp;ty=HTML&amp;h=L&amp;mc=true&amp;=PART&amp;n=pt49.5.390" TargetMode="External"/><Relationship Id="rId33" Type="http://schemas.openxmlformats.org/officeDocument/2006/relationships/hyperlink" Target="http://www.urbandictionary.com"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fcc.gov/sites/default/files/english_spoofing.pdf" TargetMode="External"/><Relationship Id="rId2" Type="http://schemas.openxmlformats.org/officeDocument/2006/relationships/hyperlink" Target="https://www.fcc.gov/consumers/guides/spoofing-and-caller-id" TargetMode="External"/><Relationship Id="rId1" Type="http://schemas.openxmlformats.org/officeDocument/2006/relationships/hyperlink" Target="https://www.tdcaa.com/product/legislative-update-preorder-2019-21/" TargetMode="External"/><Relationship Id="rId6" Type="http://schemas.openxmlformats.org/officeDocument/2006/relationships/hyperlink" Target="http://www.ncsl.org/research/agriculture-and-rural-development/state-industrial-hemp-statutes.aspx" TargetMode="External"/><Relationship Id="rId5" Type="http://schemas.openxmlformats.org/officeDocument/2006/relationships/hyperlink" Target="https://gov.texas.gov/uploads/files/press/Letter_to_DAs.pdf" TargetMode="External"/><Relationship Id="rId4" Type="http://schemas.openxmlformats.org/officeDocument/2006/relationships/hyperlink" Target="https://legaldictionary.net/strict-liability/"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17553</Words>
  <Characters>100054</Characters>
  <Application>Microsoft Office Word</Application>
  <DocSecurity>4</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Kilgore College</Company>
  <LinksUpToDate>false</LinksUpToDate>
  <CharactersWithSpaces>117373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Brundage</dc:creator>
  <cp:lastModifiedBy>Susan Brundage</cp:lastModifiedBy>
  <cp:revision>2</cp:revision>
  <cp:lastPrinted>2019-08-11T21:37:00Z</cp:lastPrinted>
  <dcterms:created xsi:type="dcterms:W3CDTF">2019-08-22T13:39:00Z</dcterms:created>
  <dcterms:modified xsi:type="dcterms:W3CDTF">2019-08-22T13:39:00Z</dcterms:modified>
</cp:coreProperties>
</file>